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AB" w:rsidRDefault="006126AB" w:rsidP="006126AB">
      <w:pPr>
        <w:spacing w:after="0"/>
        <w:rPr>
          <w:b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228D1A37" wp14:editId="1A337A16">
            <wp:extent cx="904875" cy="981075"/>
            <wp:effectExtent l="0" t="0" r="0" b="0"/>
            <wp:docPr id="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126AB" w:rsidRDefault="006126AB" w:rsidP="00F977CC">
      <w:pPr>
        <w:spacing w:after="0"/>
        <w:jc w:val="center"/>
        <w:rPr>
          <w:b/>
          <w:sz w:val="20"/>
          <w:szCs w:val="20"/>
        </w:rPr>
      </w:pPr>
    </w:p>
    <w:p w:rsidR="00F977CC" w:rsidRPr="006126AB" w:rsidRDefault="00640A8E" w:rsidP="006126AB">
      <w:pPr>
        <w:spacing w:after="0"/>
        <w:rPr>
          <w:b/>
          <w:sz w:val="20"/>
          <w:szCs w:val="20"/>
        </w:rPr>
      </w:pPr>
      <w:r w:rsidRPr="006126AB">
        <w:rPr>
          <w:b/>
          <w:sz w:val="20"/>
          <w:szCs w:val="20"/>
        </w:rPr>
        <w:t xml:space="preserve">INFORMACIÓN </w:t>
      </w:r>
      <w:r w:rsidR="00C223D4" w:rsidRPr="006126AB">
        <w:rPr>
          <w:b/>
          <w:sz w:val="20"/>
          <w:szCs w:val="20"/>
        </w:rPr>
        <w:t>PARA LA</w:t>
      </w:r>
      <w:r w:rsidR="00F977CC" w:rsidRPr="006126AB">
        <w:rPr>
          <w:b/>
          <w:sz w:val="20"/>
          <w:szCs w:val="20"/>
        </w:rPr>
        <w:t xml:space="preserve"> DIFUSIÓN A LA CIUDADANÍA DE LA LEY DE INGRESOS</w:t>
      </w:r>
      <w:r w:rsidR="006126AB">
        <w:rPr>
          <w:b/>
          <w:sz w:val="20"/>
          <w:szCs w:val="20"/>
        </w:rPr>
        <w:t xml:space="preserve"> </w:t>
      </w:r>
      <w:r w:rsidR="00F977CC" w:rsidRPr="006126AB">
        <w:rPr>
          <w:b/>
          <w:sz w:val="20"/>
          <w:szCs w:val="20"/>
        </w:rPr>
        <w:t>Y DEL PRESUPUESTO DE EGRESOS</w:t>
      </w:r>
    </w:p>
    <w:p w:rsidR="00F977CC" w:rsidRPr="006126AB" w:rsidRDefault="00F977CC" w:rsidP="00C65922">
      <w:pPr>
        <w:spacing w:after="0" w:line="240" w:lineRule="auto"/>
        <w:rPr>
          <w:sz w:val="20"/>
          <w:szCs w:val="20"/>
        </w:rPr>
      </w:pPr>
    </w:p>
    <w:p w:rsidR="000F394C" w:rsidRPr="006126AB" w:rsidRDefault="00F977CC" w:rsidP="00C77770">
      <w:pPr>
        <w:spacing w:after="120"/>
        <w:rPr>
          <w:b/>
          <w:sz w:val="20"/>
          <w:szCs w:val="20"/>
        </w:rPr>
      </w:pPr>
      <w:r w:rsidRPr="006126AB">
        <w:rPr>
          <w:b/>
          <w:sz w:val="20"/>
          <w:szCs w:val="20"/>
        </w:rPr>
        <w:t>I.-</w:t>
      </w:r>
      <w:r w:rsidRPr="006126AB">
        <w:rPr>
          <w:b/>
          <w:sz w:val="20"/>
          <w:szCs w:val="20"/>
        </w:rPr>
        <w:tab/>
      </w:r>
      <w:r w:rsidR="00BE05B8" w:rsidRPr="006126AB">
        <w:rPr>
          <w:b/>
          <w:sz w:val="20"/>
          <w:szCs w:val="20"/>
        </w:rPr>
        <w:t>¿Qué es la Ley de Ingresos</w:t>
      </w:r>
      <w:r w:rsidR="00C86D2F" w:rsidRPr="006126AB">
        <w:rPr>
          <w:b/>
          <w:sz w:val="20"/>
          <w:szCs w:val="20"/>
        </w:rPr>
        <w:t xml:space="preserve"> y cuál es su importancia</w:t>
      </w:r>
      <w:r w:rsidR="00BE05B8" w:rsidRPr="006126AB">
        <w:rPr>
          <w:b/>
          <w:sz w:val="20"/>
          <w:szCs w:val="20"/>
        </w:rPr>
        <w:t>?</w:t>
      </w:r>
    </w:p>
    <w:p w:rsidR="00BE05B8" w:rsidRPr="006126AB" w:rsidRDefault="00010D31" w:rsidP="00F75C05">
      <w:pPr>
        <w:jc w:val="both"/>
        <w:rPr>
          <w:sz w:val="20"/>
          <w:szCs w:val="20"/>
        </w:rPr>
      </w:pPr>
      <w:r w:rsidRPr="006126AB">
        <w:rPr>
          <w:sz w:val="20"/>
          <w:szCs w:val="20"/>
        </w:rPr>
        <w:t>La Ley de Ingresos del Estado de Yucatán e</w:t>
      </w:r>
      <w:r w:rsidR="00BE05B8" w:rsidRPr="006126AB">
        <w:rPr>
          <w:sz w:val="20"/>
          <w:szCs w:val="20"/>
        </w:rPr>
        <w:t>s el ordenamiento legal</w:t>
      </w:r>
      <w:r w:rsidR="0080494E" w:rsidRPr="006126AB">
        <w:rPr>
          <w:sz w:val="20"/>
          <w:szCs w:val="20"/>
        </w:rPr>
        <w:t xml:space="preserve">, con vigencia anual, </w:t>
      </w:r>
      <w:r w:rsidR="00BE05B8" w:rsidRPr="006126AB">
        <w:rPr>
          <w:sz w:val="20"/>
          <w:szCs w:val="20"/>
        </w:rPr>
        <w:t>qu</w:t>
      </w:r>
      <w:r w:rsidR="00B36203" w:rsidRPr="006126AB">
        <w:rPr>
          <w:sz w:val="20"/>
          <w:szCs w:val="20"/>
        </w:rPr>
        <w:t>e tiene por objeto establecer l</w:t>
      </w:r>
      <w:r w:rsidR="00BE05B8" w:rsidRPr="006126AB">
        <w:rPr>
          <w:sz w:val="20"/>
          <w:szCs w:val="20"/>
        </w:rPr>
        <w:t xml:space="preserve">os ingresos </w:t>
      </w:r>
      <w:r w:rsidR="00C86D2F" w:rsidRPr="006126AB">
        <w:rPr>
          <w:sz w:val="20"/>
          <w:szCs w:val="20"/>
        </w:rPr>
        <w:t>que el</w:t>
      </w:r>
      <w:r w:rsidR="003E33C7" w:rsidRPr="006126AB">
        <w:rPr>
          <w:sz w:val="20"/>
          <w:szCs w:val="20"/>
        </w:rPr>
        <w:t xml:space="preserve"> </w:t>
      </w:r>
      <w:r w:rsidR="00C86D2F" w:rsidRPr="006126AB">
        <w:rPr>
          <w:sz w:val="20"/>
          <w:szCs w:val="20"/>
        </w:rPr>
        <w:t>Congreso</w:t>
      </w:r>
      <w:r w:rsidR="003E33C7" w:rsidRPr="006126AB">
        <w:rPr>
          <w:sz w:val="20"/>
          <w:szCs w:val="20"/>
        </w:rPr>
        <w:t xml:space="preserve"> del Estado</w:t>
      </w:r>
      <w:r w:rsidR="0080494E" w:rsidRPr="006126AB">
        <w:rPr>
          <w:sz w:val="20"/>
          <w:szCs w:val="20"/>
        </w:rPr>
        <w:t>,</w:t>
      </w:r>
      <w:r w:rsidR="003E33C7" w:rsidRPr="006126AB">
        <w:rPr>
          <w:sz w:val="20"/>
          <w:szCs w:val="20"/>
        </w:rPr>
        <w:t xml:space="preserve"> a iniciativa del C. Gobernado</w:t>
      </w:r>
      <w:r w:rsidR="009E2847" w:rsidRPr="006126AB">
        <w:rPr>
          <w:sz w:val="20"/>
          <w:szCs w:val="20"/>
        </w:rPr>
        <w:t>r</w:t>
      </w:r>
      <w:r w:rsidR="003E33C7" w:rsidRPr="006126AB">
        <w:rPr>
          <w:sz w:val="20"/>
          <w:szCs w:val="20"/>
        </w:rPr>
        <w:t xml:space="preserve">, </w:t>
      </w:r>
      <w:r w:rsidR="00C86D2F" w:rsidRPr="006126AB">
        <w:rPr>
          <w:sz w:val="20"/>
          <w:szCs w:val="20"/>
        </w:rPr>
        <w:t xml:space="preserve">le autoriza </w:t>
      </w:r>
      <w:r w:rsidR="00B36203" w:rsidRPr="006126AB">
        <w:rPr>
          <w:sz w:val="20"/>
          <w:szCs w:val="20"/>
        </w:rPr>
        <w:t>recaudar</w:t>
      </w:r>
      <w:r w:rsidR="000F7830" w:rsidRPr="006126AB">
        <w:rPr>
          <w:sz w:val="20"/>
          <w:szCs w:val="20"/>
        </w:rPr>
        <w:t xml:space="preserve"> a la Hacienda pública. Con dichos ingresos </w:t>
      </w:r>
      <w:r w:rsidRPr="006126AB">
        <w:rPr>
          <w:sz w:val="20"/>
          <w:szCs w:val="20"/>
        </w:rPr>
        <w:t>el</w:t>
      </w:r>
      <w:r w:rsidR="00C86D2F" w:rsidRPr="006126AB">
        <w:rPr>
          <w:sz w:val="20"/>
          <w:szCs w:val="20"/>
        </w:rPr>
        <w:t xml:space="preserve"> </w:t>
      </w:r>
      <w:r w:rsidR="003E33C7" w:rsidRPr="006126AB">
        <w:rPr>
          <w:sz w:val="20"/>
          <w:szCs w:val="20"/>
        </w:rPr>
        <w:t xml:space="preserve">Gobierno </w:t>
      </w:r>
      <w:r w:rsidR="0080494E" w:rsidRPr="006126AB">
        <w:rPr>
          <w:sz w:val="20"/>
          <w:szCs w:val="20"/>
        </w:rPr>
        <w:t>del Estado</w:t>
      </w:r>
      <w:r w:rsidR="00BE05B8" w:rsidRPr="006126AB">
        <w:rPr>
          <w:sz w:val="20"/>
          <w:szCs w:val="20"/>
        </w:rPr>
        <w:t xml:space="preserve"> financia</w:t>
      </w:r>
      <w:r w:rsidR="00C86D2F" w:rsidRPr="006126AB">
        <w:rPr>
          <w:sz w:val="20"/>
          <w:szCs w:val="20"/>
        </w:rPr>
        <w:t>r</w:t>
      </w:r>
      <w:r w:rsidRPr="006126AB">
        <w:rPr>
          <w:sz w:val="20"/>
          <w:szCs w:val="20"/>
        </w:rPr>
        <w:t>á</w:t>
      </w:r>
      <w:r w:rsidR="0080494E" w:rsidRPr="006126AB">
        <w:rPr>
          <w:sz w:val="20"/>
          <w:szCs w:val="20"/>
        </w:rPr>
        <w:t xml:space="preserve"> los programas públicos durante un ejercicio fiscal para dar cumplimiento a las políticas</w:t>
      </w:r>
      <w:r w:rsidR="00BE05B8" w:rsidRPr="006126AB">
        <w:rPr>
          <w:sz w:val="20"/>
          <w:szCs w:val="20"/>
        </w:rPr>
        <w:t xml:space="preserve">, estrategias, </w:t>
      </w:r>
      <w:r w:rsidR="0080494E" w:rsidRPr="006126AB">
        <w:rPr>
          <w:sz w:val="20"/>
          <w:szCs w:val="20"/>
        </w:rPr>
        <w:t xml:space="preserve">objetivos y </w:t>
      </w:r>
      <w:r w:rsidR="00BE05B8" w:rsidRPr="006126AB">
        <w:rPr>
          <w:sz w:val="20"/>
          <w:szCs w:val="20"/>
        </w:rPr>
        <w:t xml:space="preserve">compromisos contenidos en </w:t>
      </w:r>
      <w:r w:rsidR="0080494E" w:rsidRPr="006126AB">
        <w:rPr>
          <w:sz w:val="20"/>
          <w:szCs w:val="20"/>
        </w:rPr>
        <w:t>el</w:t>
      </w:r>
      <w:r w:rsidR="00BE05B8" w:rsidRPr="006126AB">
        <w:rPr>
          <w:sz w:val="20"/>
          <w:szCs w:val="20"/>
        </w:rPr>
        <w:t xml:space="preserve"> Plan Estatal de Desarrollo</w:t>
      </w:r>
      <w:r w:rsidR="003E33C7" w:rsidRPr="006126AB">
        <w:rPr>
          <w:sz w:val="20"/>
          <w:szCs w:val="20"/>
        </w:rPr>
        <w:t>.</w:t>
      </w:r>
    </w:p>
    <w:p w:rsidR="0054095C" w:rsidRPr="006126AB" w:rsidRDefault="0080494E" w:rsidP="00F75C05">
      <w:pPr>
        <w:jc w:val="both"/>
        <w:rPr>
          <w:sz w:val="20"/>
          <w:szCs w:val="20"/>
        </w:rPr>
      </w:pPr>
      <w:r w:rsidRPr="006126AB">
        <w:rPr>
          <w:sz w:val="20"/>
          <w:szCs w:val="20"/>
        </w:rPr>
        <w:t>La</w:t>
      </w:r>
      <w:r w:rsidR="0054095C" w:rsidRPr="006126AB">
        <w:rPr>
          <w:sz w:val="20"/>
          <w:szCs w:val="20"/>
        </w:rPr>
        <w:t xml:space="preserve"> Ley de Ingresos</w:t>
      </w:r>
      <w:r w:rsidR="00571B12" w:rsidRPr="006126AB">
        <w:rPr>
          <w:sz w:val="20"/>
          <w:szCs w:val="20"/>
        </w:rPr>
        <w:t>,</w:t>
      </w:r>
      <w:r w:rsidR="00E11E1F" w:rsidRPr="006126AB">
        <w:rPr>
          <w:sz w:val="20"/>
          <w:szCs w:val="20"/>
        </w:rPr>
        <w:t xml:space="preserve"> elaborada con criterios que</w:t>
      </w:r>
      <w:r w:rsidR="0054095C" w:rsidRPr="006126AB">
        <w:rPr>
          <w:sz w:val="20"/>
          <w:szCs w:val="20"/>
        </w:rPr>
        <w:t xml:space="preserve"> </w:t>
      </w:r>
      <w:r w:rsidR="00E11E1F" w:rsidRPr="006126AB">
        <w:rPr>
          <w:sz w:val="20"/>
          <w:szCs w:val="20"/>
        </w:rPr>
        <w:t xml:space="preserve">atienden al </w:t>
      </w:r>
      <w:r w:rsidR="00571B12" w:rsidRPr="006126AB">
        <w:rPr>
          <w:sz w:val="20"/>
          <w:szCs w:val="20"/>
        </w:rPr>
        <w:t>interés</w:t>
      </w:r>
      <w:r w:rsidR="0054095C" w:rsidRPr="006126AB">
        <w:rPr>
          <w:sz w:val="20"/>
          <w:szCs w:val="20"/>
        </w:rPr>
        <w:t xml:space="preserve"> social y </w:t>
      </w:r>
      <w:r w:rsidR="00571B12" w:rsidRPr="006126AB">
        <w:rPr>
          <w:sz w:val="20"/>
          <w:szCs w:val="20"/>
        </w:rPr>
        <w:t xml:space="preserve">el desarrollo </w:t>
      </w:r>
      <w:r w:rsidR="0054095C" w:rsidRPr="006126AB">
        <w:rPr>
          <w:sz w:val="20"/>
          <w:szCs w:val="20"/>
        </w:rPr>
        <w:t>económico</w:t>
      </w:r>
      <w:r w:rsidR="008D3439" w:rsidRPr="006126AB">
        <w:rPr>
          <w:sz w:val="20"/>
          <w:szCs w:val="20"/>
        </w:rPr>
        <w:t xml:space="preserve">, </w:t>
      </w:r>
      <w:r w:rsidR="00571B12" w:rsidRPr="006126AB">
        <w:rPr>
          <w:sz w:val="20"/>
          <w:szCs w:val="20"/>
        </w:rPr>
        <w:t>da</w:t>
      </w:r>
      <w:r w:rsidR="0054095C" w:rsidRPr="006126AB">
        <w:rPr>
          <w:sz w:val="20"/>
          <w:szCs w:val="20"/>
        </w:rPr>
        <w:t xml:space="preserve"> certeza a los ciudadanos </w:t>
      </w:r>
      <w:r w:rsidR="008D3439" w:rsidRPr="006126AB">
        <w:rPr>
          <w:sz w:val="20"/>
          <w:szCs w:val="20"/>
        </w:rPr>
        <w:t xml:space="preserve">en cuanto al cumplimiento de </w:t>
      </w:r>
      <w:r w:rsidR="0054095C" w:rsidRPr="006126AB">
        <w:rPr>
          <w:sz w:val="20"/>
          <w:szCs w:val="20"/>
        </w:rPr>
        <w:t xml:space="preserve">sus obligaciones </w:t>
      </w:r>
      <w:r w:rsidRPr="006126AB">
        <w:rPr>
          <w:sz w:val="20"/>
          <w:szCs w:val="20"/>
        </w:rPr>
        <w:t>fiscales</w:t>
      </w:r>
      <w:r w:rsidR="00571B12" w:rsidRPr="006126AB">
        <w:rPr>
          <w:sz w:val="20"/>
          <w:szCs w:val="20"/>
        </w:rPr>
        <w:t xml:space="preserve">, así </w:t>
      </w:r>
      <w:r w:rsidR="000F7830" w:rsidRPr="006126AB">
        <w:rPr>
          <w:sz w:val="20"/>
          <w:szCs w:val="20"/>
        </w:rPr>
        <w:t>como al e</w:t>
      </w:r>
      <w:r w:rsidR="0054095C" w:rsidRPr="006126AB">
        <w:rPr>
          <w:sz w:val="20"/>
          <w:szCs w:val="20"/>
        </w:rPr>
        <w:t>stado</w:t>
      </w:r>
      <w:r w:rsidRPr="006126AB">
        <w:rPr>
          <w:sz w:val="20"/>
          <w:szCs w:val="20"/>
        </w:rPr>
        <w:t xml:space="preserve"> en cuanto </w:t>
      </w:r>
      <w:r w:rsidR="00571B12" w:rsidRPr="006126AB">
        <w:rPr>
          <w:sz w:val="20"/>
          <w:szCs w:val="20"/>
        </w:rPr>
        <w:t xml:space="preserve">al monto de </w:t>
      </w:r>
      <w:r w:rsidR="0054095C" w:rsidRPr="006126AB">
        <w:rPr>
          <w:sz w:val="20"/>
          <w:szCs w:val="20"/>
        </w:rPr>
        <w:t xml:space="preserve">los recursos </w:t>
      </w:r>
      <w:r w:rsidR="00EE02AF" w:rsidRPr="006126AB">
        <w:rPr>
          <w:sz w:val="20"/>
          <w:szCs w:val="20"/>
        </w:rPr>
        <w:t xml:space="preserve">de que dispondrá para proporcionar a </w:t>
      </w:r>
      <w:r w:rsidR="0054095C" w:rsidRPr="006126AB">
        <w:rPr>
          <w:sz w:val="20"/>
          <w:szCs w:val="20"/>
        </w:rPr>
        <w:t>la</w:t>
      </w:r>
      <w:r w:rsidRPr="006126AB">
        <w:rPr>
          <w:sz w:val="20"/>
          <w:szCs w:val="20"/>
        </w:rPr>
        <w:t>s personas y las familias los</w:t>
      </w:r>
      <w:r w:rsidR="008D3439" w:rsidRPr="006126AB">
        <w:rPr>
          <w:sz w:val="20"/>
          <w:szCs w:val="20"/>
        </w:rPr>
        <w:t xml:space="preserve"> bienes y servicios </w:t>
      </w:r>
      <w:r w:rsidRPr="006126AB">
        <w:rPr>
          <w:sz w:val="20"/>
          <w:szCs w:val="20"/>
        </w:rPr>
        <w:t>de calidad que necesita</w:t>
      </w:r>
      <w:r w:rsidR="00571B12" w:rsidRPr="006126AB">
        <w:rPr>
          <w:sz w:val="20"/>
          <w:szCs w:val="20"/>
        </w:rPr>
        <w:t>n</w:t>
      </w:r>
      <w:r w:rsidR="00D230C5" w:rsidRPr="006126AB">
        <w:rPr>
          <w:sz w:val="20"/>
          <w:szCs w:val="20"/>
        </w:rPr>
        <w:t xml:space="preserve">. </w:t>
      </w:r>
    </w:p>
    <w:p w:rsidR="003E33C7" w:rsidRPr="006126AB" w:rsidRDefault="00F977CC" w:rsidP="00C65922">
      <w:pPr>
        <w:spacing w:after="120"/>
        <w:rPr>
          <w:b/>
          <w:sz w:val="20"/>
          <w:szCs w:val="20"/>
        </w:rPr>
      </w:pPr>
      <w:r w:rsidRPr="006126AB">
        <w:rPr>
          <w:b/>
          <w:sz w:val="20"/>
          <w:szCs w:val="20"/>
        </w:rPr>
        <w:t>II.-</w:t>
      </w:r>
      <w:r w:rsidRPr="006126AB">
        <w:rPr>
          <w:b/>
          <w:sz w:val="20"/>
          <w:szCs w:val="20"/>
        </w:rPr>
        <w:tab/>
      </w:r>
      <w:r w:rsidR="003E33C7" w:rsidRPr="006126AB">
        <w:rPr>
          <w:b/>
          <w:sz w:val="20"/>
          <w:szCs w:val="20"/>
        </w:rPr>
        <w:t xml:space="preserve">¿De dónde obtienen los gobiernos sus ingresos? </w:t>
      </w:r>
    </w:p>
    <w:p w:rsidR="00EE02AF" w:rsidRPr="006126AB" w:rsidRDefault="00691E23" w:rsidP="00251734">
      <w:pPr>
        <w:spacing w:after="280"/>
        <w:jc w:val="both"/>
        <w:rPr>
          <w:spacing w:val="-2"/>
          <w:sz w:val="20"/>
          <w:szCs w:val="20"/>
        </w:rPr>
      </w:pPr>
      <w:r w:rsidRPr="006126AB">
        <w:rPr>
          <w:spacing w:val="-2"/>
          <w:sz w:val="20"/>
          <w:szCs w:val="20"/>
        </w:rPr>
        <w:t xml:space="preserve">Los </w:t>
      </w:r>
      <w:r w:rsidR="00C20DEF" w:rsidRPr="006126AB">
        <w:rPr>
          <w:spacing w:val="-2"/>
          <w:sz w:val="20"/>
          <w:szCs w:val="20"/>
        </w:rPr>
        <w:t>ingresos</w:t>
      </w:r>
      <w:r w:rsidRPr="006126AB">
        <w:rPr>
          <w:spacing w:val="-2"/>
          <w:sz w:val="20"/>
          <w:szCs w:val="20"/>
        </w:rPr>
        <w:t xml:space="preserve"> </w:t>
      </w:r>
      <w:r w:rsidR="00C22592" w:rsidRPr="006126AB">
        <w:rPr>
          <w:spacing w:val="-2"/>
          <w:sz w:val="20"/>
          <w:szCs w:val="20"/>
        </w:rPr>
        <w:t>d</w:t>
      </w:r>
      <w:r w:rsidR="007666A2" w:rsidRPr="006126AB">
        <w:rPr>
          <w:spacing w:val="-2"/>
          <w:sz w:val="20"/>
          <w:szCs w:val="20"/>
        </w:rPr>
        <w:t>el</w:t>
      </w:r>
      <w:r w:rsidRPr="006126AB">
        <w:rPr>
          <w:spacing w:val="-2"/>
          <w:sz w:val="20"/>
          <w:szCs w:val="20"/>
        </w:rPr>
        <w:t xml:space="preserve"> </w:t>
      </w:r>
      <w:r w:rsidR="00B73138" w:rsidRPr="006126AB">
        <w:rPr>
          <w:spacing w:val="-2"/>
          <w:sz w:val="20"/>
          <w:szCs w:val="20"/>
        </w:rPr>
        <w:t xml:space="preserve">Gobierno del </w:t>
      </w:r>
      <w:r w:rsidRPr="006126AB">
        <w:rPr>
          <w:spacing w:val="-2"/>
          <w:sz w:val="20"/>
          <w:szCs w:val="20"/>
        </w:rPr>
        <w:t xml:space="preserve">Estado </w:t>
      </w:r>
      <w:r w:rsidR="00C22592" w:rsidRPr="006126AB">
        <w:rPr>
          <w:spacing w:val="-2"/>
          <w:sz w:val="20"/>
          <w:szCs w:val="20"/>
        </w:rPr>
        <w:t xml:space="preserve">con los cuales </w:t>
      </w:r>
      <w:r w:rsidR="000F7830" w:rsidRPr="006126AB">
        <w:rPr>
          <w:spacing w:val="-2"/>
          <w:sz w:val="20"/>
          <w:szCs w:val="20"/>
        </w:rPr>
        <w:t>financia la ejecución de</w:t>
      </w:r>
      <w:r w:rsidR="00753EE1" w:rsidRPr="006126AB">
        <w:rPr>
          <w:spacing w:val="-2"/>
          <w:sz w:val="20"/>
          <w:szCs w:val="20"/>
        </w:rPr>
        <w:t xml:space="preserve"> los programas públicos </w:t>
      </w:r>
      <w:r w:rsidR="00C22592" w:rsidRPr="006126AB">
        <w:rPr>
          <w:spacing w:val="-2"/>
          <w:sz w:val="20"/>
          <w:szCs w:val="20"/>
        </w:rPr>
        <w:t xml:space="preserve">para </w:t>
      </w:r>
      <w:r w:rsidR="00152702" w:rsidRPr="006126AB">
        <w:rPr>
          <w:spacing w:val="-2"/>
          <w:sz w:val="20"/>
          <w:szCs w:val="20"/>
        </w:rPr>
        <w:t>proporciona</w:t>
      </w:r>
      <w:r w:rsidR="00753EE1" w:rsidRPr="006126AB">
        <w:rPr>
          <w:spacing w:val="-2"/>
          <w:sz w:val="20"/>
          <w:szCs w:val="20"/>
        </w:rPr>
        <w:t xml:space="preserve"> </w:t>
      </w:r>
      <w:r w:rsidR="000C56C1" w:rsidRPr="006126AB">
        <w:rPr>
          <w:spacing w:val="-2"/>
          <w:sz w:val="20"/>
          <w:szCs w:val="20"/>
        </w:rPr>
        <w:t xml:space="preserve">bienes y servicios a la sociedad, </w:t>
      </w:r>
      <w:r w:rsidR="00C20DEF" w:rsidRPr="006126AB">
        <w:rPr>
          <w:spacing w:val="-2"/>
          <w:sz w:val="20"/>
          <w:szCs w:val="20"/>
        </w:rPr>
        <w:t>invierte</w:t>
      </w:r>
      <w:r w:rsidR="000C56C1" w:rsidRPr="006126AB">
        <w:rPr>
          <w:spacing w:val="-2"/>
          <w:sz w:val="20"/>
          <w:szCs w:val="20"/>
        </w:rPr>
        <w:t xml:space="preserve"> en infraestructura y cumple s</w:t>
      </w:r>
      <w:r w:rsidR="0080494E" w:rsidRPr="006126AB">
        <w:rPr>
          <w:spacing w:val="-2"/>
          <w:sz w:val="20"/>
          <w:szCs w:val="20"/>
        </w:rPr>
        <w:t xml:space="preserve">us </w:t>
      </w:r>
      <w:r w:rsidRPr="006126AB">
        <w:rPr>
          <w:spacing w:val="-2"/>
          <w:sz w:val="20"/>
          <w:szCs w:val="20"/>
        </w:rPr>
        <w:t xml:space="preserve">compromisos financieros, provienen de </w:t>
      </w:r>
      <w:r w:rsidR="007B7CD2" w:rsidRPr="006126AB">
        <w:rPr>
          <w:spacing w:val="-2"/>
          <w:sz w:val="20"/>
          <w:szCs w:val="20"/>
        </w:rPr>
        <w:t xml:space="preserve">las </w:t>
      </w:r>
      <w:r w:rsidR="0080494E" w:rsidRPr="006126AB">
        <w:rPr>
          <w:spacing w:val="-2"/>
          <w:sz w:val="20"/>
          <w:szCs w:val="20"/>
        </w:rPr>
        <w:t xml:space="preserve">contribuciones </w:t>
      </w:r>
      <w:r w:rsidR="007B7CD2" w:rsidRPr="006126AB">
        <w:rPr>
          <w:spacing w:val="-2"/>
          <w:sz w:val="20"/>
          <w:szCs w:val="20"/>
        </w:rPr>
        <w:t xml:space="preserve">que </w:t>
      </w:r>
      <w:r w:rsidR="008765E4" w:rsidRPr="006126AB">
        <w:rPr>
          <w:spacing w:val="-2"/>
          <w:sz w:val="20"/>
          <w:szCs w:val="20"/>
        </w:rPr>
        <w:t>cubren</w:t>
      </w:r>
      <w:r w:rsidR="007B7CD2" w:rsidRPr="006126AB">
        <w:rPr>
          <w:spacing w:val="-2"/>
          <w:sz w:val="20"/>
          <w:szCs w:val="20"/>
        </w:rPr>
        <w:t xml:space="preserve"> las personas físicas y morales</w:t>
      </w:r>
      <w:r w:rsidR="008765E4" w:rsidRPr="006126AB">
        <w:rPr>
          <w:spacing w:val="-2"/>
          <w:sz w:val="20"/>
          <w:szCs w:val="20"/>
        </w:rPr>
        <w:t xml:space="preserve"> por conceptos de </w:t>
      </w:r>
      <w:r w:rsidR="00080F79" w:rsidRPr="006126AB">
        <w:rPr>
          <w:spacing w:val="-2"/>
          <w:sz w:val="20"/>
          <w:szCs w:val="20"/>
        </w:rPr>
        <w:t xml:space="preserve">utilidades, </w:t>
      </w:r>
      <w:r w:rsidR="008765E4" w:rsidRPr="006126AB">
        <w:rPr>
          <w:spacing w:val="-2"/>
          <w:sz w:val="20"/>
          <w:szCs w:val="20"/>
        </w:rPr>
        <w:t xml:space="preserve">consumo, </w:t>
      </w:r>
      <w:r w:rsidR="007B7CD2" w:rsidRPr="006126AB">
        <w:rPr>
          <w:spacing w:val="-2"/>
          <w:sz w:val="20"/>
          <w:szCs w:val="20"/>
        </w:rPr>
        <w:t xml:space="preserve">producción, </w:t>
      </w:r>
      <w:r w:rsidR="007666A2" w:rsidRPr="006126AB">
        <w:rPr>
          <w:spacing w:val="-2"/>
          <w:sz w:val="20"/>
          <w:szCs w:val="20"/>
        </w:rPr>
        <w:t>operaciones comerciales y</w:t>
      </w:r>
      <w:r w:rsidR="008D042E" w:rsidRPr="006126AB">
        <w:rPr>
          <w:spacing w:val="-2"/>
          <w:sz w:val="20"/>
          <w:szCs w:val="20"/>
        </w:rPr>
        <w:t xml:space="preserve"> derechos por los</w:t>
      </w:r>
      <w:r w:rsidR="00080F79" w:rsidRPr="006126AB">
        <w:rPr>
          <w:spacing w:val="-2"/>
          <w:sz w:val="20"/>
          <w:szCs w:val="20"/>
        </w:rPr>
        <w:t xml:space="preserve"> servicios </w:t>
      </w:r>
      <w:r w:rsidR="000258A2" w:rsidRPr="006126AB">
        <w:rPr>
          <w:spacing w:val="-2"/>
          <w:sz w:val="20"/>
          <w:szCs w:val="20"/>
        </w:rPr>
        <w:t xml:space="preserve">que proporcionan los </w:t>
      </w:r>
      <w:r w:rsidR="00080F79" w:rsidRPr="006126AB">
        <w:rPr>
          <w:spacing w:val="-2"/>
          <w:sz w:val="20"/>
          <w:szCs w:val="20"/>
        </w:rPr>
        <w:t>entes gubernamentales</w:t>
      </w:r>
      <w:r w:rsidR="00C20DEF" w:rsidRPr="006126AB">
        <w:rPr>
          <w:spacing w:val="-2"/>
          <w:sz w:val="20"/>
          <w:szCs w:val="20"/>
        </w:rPr>
        <w:t>. Igualmente</w:t>
      </w:r>
      <w:r w:rsidR="007666A2" w:rsidRPr="006126AB">
        <w:rPr>
          <w:spacing w:val="-2"/>
          <w:sz w:val="20"/>
          <w:szCs w:val="20"/>
        </w:rPr>
        <w:t>,</w:t>
      </w:r>
      <w:r w:rsidR="00C20DEF" w:rsidRPr="006126AB">
        <w:rPr>
          <w:spacing w:val="-2"/>
          <w:sz w:val="20"/>
          <w:szCs w:val="20"/>
        </w:rPr>
        <w:t xml:space="preserve"> prov</w:t>
      </w:r>
      <w:r w:rsidR="007666A2" w:rsidRPr="006126AB">
        <w:rPr>
          <w:spacing w:val="-2"/>
          <w:sz w:val="20"/>
          <w:szCs w:val="20"/>
        </w:rPr>
        <w:t xml:space="preserve">ienen </w:t>
      </w:r>
      <w:r w:rsidR="00C20DEF" w:rsidRPr="006126AB">
        <w:rPr>
          <w:spacing w:val="-2"/>
          <w:sz w:val="20"/>
          <w:szCs w:val="20"/>
        </w:rPr>
        <w:t xml:space="preserve">de </w:t>
      </w:r>
      <w:r w:rsidR="00080F79" w:rsidRPr="006126AB">
        <w:rPr>
          <w:spacing w:val="-2"/>
          <w:sz w:val="20"/>
          <w:szCs w:val="20"/>
        </w:rPr>
        <w:t xml:space="preserve">los </w:t>
      </w:r>
      <w:r w:rsidR="00CA0E28" w:rsidRPr="006126AB">
        <w:rPr>
          <w:spacing w:val="-2"/>
          <w:sz w:val="20"/>
          <w:szCs w:val="20"/>
        </w:rPr>
        <w:t>recursos recibidos del Gobierno Federal</w:t>
      </w:r>
      <w:r w:rsidR="000258A2" w:rsidRPr="006126AB">
        <w:rPr>
          <w:spacing w:val="-2"/>
          <w:sz w:val="20"/>
          <w:szCs w:val="20"/>
        </w:rPr>
        <w:t xml:space="preserve"> </w:t>
      </w:r>
      <w:r w:rsidR="007666A2" w:rsidRPr="006126AB">
        <w:rPr>
          <w:spacing w:val="-2"/>
          <w:sz w:val="20"/>
          <w:szCs w:val="20"/>
        </w:rPr>
        <w:t xml:space="preserve">por conceptos de </w:t>
      </w:r>
      <w:r w:rsidR="00EE02AF" w:rsidRPr="006126AB">
        <w:rPr>
          <w:spacing w:val="-2"/>
          <w:sz w:val="20"/>
          <w:szCs w:val="20"/>
        </w:rPr>
        <w:t xml:space="preserve">participaciones </w:t>
      </w:r>
      <w:r w:rsidR="003443B1" w:rsidRPr="006126AB">
        <w:rPr>
          <w:spacing w:val="-2"/>
          <w:sz w:val="20"/>
          <w:szCs w:val="20"/>
        </w:rPr>
        <w:t>en los ingresos federales</w:t>
      </w:r>
      <w:r w:rsidR="008661C0" w:rsidRPr="006126AB">
        <w:rPr>
          <w:spacing w:val="-2"/>
          <w:sz w:val="20"/>
          <w:szCs w:val="20"/>
        </w:rPr>
        <w:t xml:space="preserve">, </w:t>
      </w:r>
      <w:r w:rsidR="003443B1" w:rsidRPr="006126AB">
        <w:rPr>
          <w:spacing w:val="-2"/>
          <w:sz w:val="20"/>
          <w:szCs w:val="20"/>
        </w:rPr>
        <w:t>los fondos de aportaciones federales para los estados</w:t>
      </w:r>
      <w:r w:rsidR="007666A2" w:rsidRPr="006126AB">
        <w:rPr>
          <w:spacing w:val="-2"/>
          <w:sz w:val="20"/>
          <w:szCs w:val="20"/>
        </w:rPr>
        <w:t xml:space="preserve"> y municipios</w:t>
      </w:r>
      <w:r w:rsidR="005B0D6F" w:rsidRPr="006126AB">
        <w:rPr>
          <w:spacing w:val="-2"/>
          <w:sz w:val="20"/>
          <w:szCs w:val="20"/>
        </w:rPr>
        <w:t xml:space="preserve">, </w:t>
      </w:r>
      <w:r w:rsidR="00265CA4" w:rsidRPr="006126AB">
        <w:rPr>
          <w:spacing w:val="-2"/>
          <w:sz w:val="20"/>
          <w:szCs w:val="20"/>
        </w:rPr>
        <w:t>y los convenios de resignación de recursos provenientes del Presupuesto de Egresos de la Federación</w:t>
      </w:r>
      <w:r w:rsidR="00C65922" w:rsidRPr="006126AB">
        <w:rPr>
          <w:spacing w:val="-2"/>
          <w:sz w:val="20"/>
          <w:szCs w:val="20"/>
        </w:rPr>
        <w:t>,</w:t>
      </w:r>
      <w:r w:rsidR="00265CA4" w:rsidRPr="006126AB">
        <w:rPr>
          <w:spacing w:val="-2"/>
          <w:sz w:val="20"/>
          <w:szCs w:val="20"/>
        </w:rPr>
        <w:t xml:space="preserve"> </w:t>
      </w:r>
      <w:r w:rsidR="005B0D6F" w:rsidRPr="006126AB">
        <w:rPr>
          <w:spacing w:val="-2"/>
          <w:sz w:val="20"/>
          <w:szCs w:val="20"/>
        </w:rPr>
        <w:t xml:space="preserve">así como </w:t>
      </w:r>
      <w:r w:rsidR="007666A2" w:rsidRPr="006126AB">
        <w:rPr>
          <w:spacing w:val="-2"/>
          <w:sz w:val="20"/>
          <w:szCs w:val="20"/>
        </w:rPr>
        <w:t>de créditos</w:t>
      </w:r>
      <w:r w:rsidR="005B0D6F" w:rsidRPr="006126AB">
        <w:rPr>
          <w:spacing w:val="-2"/>
          <w:sz w:val="20"/>
          <w:szCs w:val="20"/>
        </w:rPr>
        <w:t xml:space="preserve"> obtenidos.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2763"/>
      </w:tblGrid>
      <w:tr w:rsidR="003A288B" w:rsidRPr="006126AB" w:rsidTr="00C742B7">
        <w:trPr>
          <w:trHeight w:val="330"/>
        </w:trPr>
        <w:tc>
          <w:tcPr>
            <w:tcW w:w="3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:rsidR="003A288B" w:rsidRPr="006126AB" w:rsidRDefault="003A288B" w:rsidP="003A28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Origen de los Ingresos 2015</w:t>
            </w:r>
          </w:p>
        </w:tc>
        <w:tc>
          <w:tcPr>
            <w:tcW w:w="1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A288B" w:rsidRPr="006126AB" w:rsidRDefault="003A288B" w:rsidP="003A28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Importe</w:t>
            </w:r>
          </w:p>
        </w:tc>
      </w:tr>
      <w:tr w:rsidR="003A288B" w:rsidRPr="006126AB" w:rsidTr="003A288B">
        <w:trPr>
          <w:trHeight w:val="315"/>
        </w:trPr>
        <w:tc>
          <w:tcPr>
            <w:tcW w:w="3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8B" w:rsidRPr="006126AB" w:rsidRDefault="003A288B" w:rsidP="003A28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8B" w:rsidRPr="006126AB" w:rsidRDefault="003A288B" w:rsidP="003A288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35,811,880,382.00</w:t>
            </w:r>
          </w:p>
        </w:tc>
      </w:tr>
      <w:tr w:rsidR="003A288B" w:rsidRPr="006126AB" w:rsidTr="00C742B7">
        <w:trPr>
          <w:trHeight w:val="315"/>
        </w:trPr>
        <w:tc>
          <w:tcPr>
            <w:tcW w:w="3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A288B" w:rsidRPr="006126AB" w:rsidRDefault="003A288B" w:rsidP="003A288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Impuestos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A288B" w:rsidRPr="006126AB" w:rsidRDefault="003A288B" w:rsidP="003A28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1,549,842,112.00</w:t>
            </w:r>
          </w:p>
        </w:tc>
      </w:tr>
      <w:tr w:rsidR="003A288B" w:rsidRPr="006126AB" w:rsidTr="003A288B">
        <w:trPr>
          <w:trHeight w:val="315"/>
        </w:trPr>
        <w:tc>
          <w:tcPr>
            <w:tcW w:w="3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8B" w:rsidRPr="006126AB" w:rsidRDefault="003A288B" w:rsidP="003A288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Cuotas y Aportaciones de seguridad social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8B" w:rsidRPr="006126AB" w:rsidRDefault="003A288B" w:rsidP="003A28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A288B" w:rsidRPr="006126AB" w:rsidTr="00C742B7">
        <w:trPr>
          <w:trHeight w:val="315"/>
        </w:trPr>
        <w:tc>
          <w:tcPr>
            <w:tcW w:w="3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A288B" w:rsidRPr="006126AB" w:rsidRDefault="003A288B" w:rsidP="003A288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Contribuciones de mejoras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A288B" w:rsidRPr="006126AB" w:rsidRDefault="003A288B" w:rsidP="003A28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3A288B" w:rsidRPr="006126AB" w:rsidTr="003A288B">
        <w:trPr>
          <w:trHeight w:val="315"/>
        </w:trPr>
        <w:tc>
          <w:tcPr>
            <w:tcW w:w="3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8B" w:rsidRPr="006126AB" w:rsidRDefault="003A288B" w:rsidP="003A288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Derechos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8B" w:rsidRPr="006126AB" w:rsidRDefault="003A288B" w:rsidP="003A28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590,895,514.00</w:t>
            </w:r>
          </w:p>
        </w:tc>
      </w:tr>
      <w:tr w:rsidR="003A288B" w:rsidRPr="006126AB" w:rsidTr="00C742B7">
        <w:trPr>
          <w:trHeight w:val="315"/>
        </w:trPr>
        <w:tc>
          <w:tcPr>
            <w:tcW w:w="3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A288B" w:rsidRPr="006126AB" w:rsidRDefault="003A288B" w:rsidP="003A288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Productos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A288B" w:rsidRPr="006126AB" w:rsidRDefault="003A288B" w:rsidP="003A28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32,088,388.00</w:t>
            </w:r>
          </w:p>
        </w:tc>
      </w:tr>
      <w:tr w:rsidR="003A288B" w:rsidRPr="006126AB" w:rsidTr="003A288B">
        <w:trPr>
          <w:trHeight w:val="315"/>
        </w:trPr>
        <w:tc>
          <w:tcPr>
            <w:tcW w:w="3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8B" w:rsidRPr="006126AB" w:rsidRDefault="003A288B" w:rsidP="003A288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Aprovechamientos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8B" w:rsidRPr="006126AB" w:rsidRDefault="003A288B" w:rsidP="003A28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267,738,729.00</w:t>
            </w:r>
          </w:p>
        </w:tc>
      </w:tr>
      <w:tr w:rsidR="003A288B" w:rsidRPr="006126AB" w:rsidTr="00C742B7">
        <w:trPr>
          <w:trHeight w:val="315"/>
        </w:trPr>
        <w:tc>
          <w:tcPr>
            <w:tcW w:w="3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A288B" w:rsidRPr="006126AB" w:rsidRDefault="003A288B" w:rsidP="003A288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Ingresos por ventas de bienes y servicios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A288B" w:rsidRPr="006126AB" w:rsidRDefault="003A288B" w:rsidP="003A28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2,446,384,483.00</w:t>
            </w:r>
          </w:p>
        </w:tc>
      </w:tr>
      <w:tr w:rsidR="003A288B" w:rsidRPr="006126AB" w:rsidTr="00180093">
        <w:trPr>
          <w:trHeight w:val="315"/>
        </w:trPr>
        <w:tc>
          <w:tcPr>
            <w:tcW w:w="3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8B" w:rsidRPr="006126AB" w:rsidRDefault="003A288B" w:rsidP="003A288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Participaciones y Aportaciones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8B" w:rsidRPr="006126AB" w:rsidRDefault="003A288B" w:rsidP="003A28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28,737,826,135.00</w:t>
            </w:r>
          </w:p>
        </w:tc>
      </w:tr>
      <w:tr w:rsidR="003A288B" w:rsidRPr="00180093" w:rsidTr="00180093">
        <w:trPr>
          <w:trHeight w:val="315"/>
        </w:trPr>
        <w:tc>
          <w:tcPr>
            <w:tcW w:w="3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A288B" w:rsidRPr="00180093" w:rsidRDefault="003A288B" w:rsidP="003A288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180093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Transferencias, Asignaciones, Subsidios y Otras Ayudas</w:t>
            </w:r>
          </w:p>
        </w:tc>
        <w:tc>
          <w:tcPr>
            <w:tcW w:w="1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hideMark/>
          </w:tcPr>
          <w:p w:rsidR="003A288B" w:rsidRPr="00180093" w:rsidRDefault="003A288B" w:rsidP="003A28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180093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1,687,105,021.00</w:t>
            </w:r>
          </w:p>
        </w:tc>
      </w:tr>
      <w:tr w:rsidR="003A288B" w:rsidRPr="006126AB" w:rsidTr="003A288B">
        <w:trPr>
          <w:trHeight w:val="315"/>
        </w:trPr>
        <w:tc>
          <w:tcPr>
            <w:tcW w:w="3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8B" w:rsidRPr="006126AB" w:rsidRDefault="003A288B" w:rsidP="003A288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Financiamiento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8B" w:rsidRPr="006126AB" w:rsidRDefault="003A288B" w:rsidP="003A28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500,000,000.00</w:t>
            </w:r>
          </w:p>
        </w:tc>
      </w:tr>
    </w:tbl>
    <w:p w:rsidR="00554823" w:rsidRDefault="00554823" w:rsidP="00251734">
      <w:pPr>
        <w:spacing w:after="0"/>
        <w:rPr>
          <w:sz w:val="20"/>
          <w:szCs w:val="20"/>
        </w:rPr>
      </w:pPr>
    </w:p>
    <w:p w:rsidR="006126AB" w:rsidRDefault="006126AB" w:rsidP="00251734">
      <w:pPr>
        <w:spacing w:after="0"/>
        <w:rPr>
          <w:sz w:val="20"/>
          <w:szCs w:val="20"/>
        </w:rPr>
      </w:pPr>
      <w:bookmarkStart w:id="0" w:name="_GoBack"/>
      <w:bookmarkEnd w:id="0"/>
    </w:p>
    <w:p w:rsidR="006126AB" w:rsidRDefault="006126AB" w:rsidP="00251734">
      <w:pPr>
        <w:spacing w:after="0"/>
        <w:rPr>
          <w:sz w:val="20"/>
          <w:szCs w:val="20"/>
        </w:rPr>
      </w:pPr>
      <w:r>
        <w:rPr>
          <w:noProof/>
          <w:lang w:eastAsia="es-MX"/>
        </w:rPr>
        <w:lastRenderedPageBreak/>
        <w:drawing>
          <wp:inline distT="0" distB="0" distL="0" distR="0" wp14:anchorId="1B799881" wp14:editId="22DC5638">
            <wp:extent cx="904875" cy="981075"/>
            <wp:effectExtent l="0" t="0" r="0" b="0"/>
            <wp:docPr id="3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126AB" w:rsidRDefault="006126AB" w:rsidP="00251734">
      <w:pPr>
        <w:spacing w:after="0"/>
        <w:rPr>
          <w:sz w:val="20"/>
          <w:szCs w:val="20"/>
        </w:rPr>
      </w:pPr>
    </w:p>
    <w:p w:rsidR="006126AB" w:rsidRDefault="006126AB" w:rsidP="00251734">
      <w:pPr>
        <w:spacing w:after="0"/>
        <w:rPr>
          <w:sz w:val="20"/>
          <w:szCs w:val="20"/>
        </w:rPr>
      </w:pPr>
    </w:p>
    <w:p w:rsidR="006126AB" w:rsidRPr="006126AB" w:rsidRDefault="006126AB" w:rsidP="00251734">
      <w:pPr>
        <w:spacing w:after="0"/>
        <w:rPr>
          <w:sz w:val="20"/>
          <w:szCs w:val="20"/>
        </w:rPr>
      </w:pPr>
    </w:p>
    <w:p w:rsidR="00554823" w:rsidRPr="006126AB" w:rsidRDefault="003A288B" w:rsidP="003E33C7">
      <w:pPr>
        <w:rPr>
          <w:sz w:val="20"/>
          <w:szCs w:val="20"/>
        </w:rPr>
      </w:pPr>
      <w:r w:rsidRPr="006126AB">
        <w:rPr>
          <w:noProof/>
          <w:sz w:val="20"/>
          <w:szCs w:val="20"/>
          <w:lang w:eastAsia="es-MX"/>
        </w:rPr>
        <w:drawing>
          <wp:inline distT="0" distB="0" distL="0" distR="0" wp14:anchorId="0F7385EF" wp14:editId="5DE5E3AF">
            <wp:extent cx="5612130" cy="4914900"/>
            <wp:effectExtent l="19050" t="0" r="762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6AB" w:rsidRDefault="006126AB" w:rsidP="003E33C7">
      <w:pPr>
        <w:rPr>
          <w:b/>
          <w:sz w:val="20"/>
          <w:szCs w:val="20"/>
        </w:rPr>
      </w:pPr>
    </w:p>
    <w:p w:rsidR="006126AB" w:rsidRDefault="006126AB" w:rsidP="003E33C7">
      <w:pPr>
        <w:rPr>
          <w:b/>
          <w:sz w:val="20"/>
          <w:szCs w:val="20"/>
        </w:rPr>
      </w:pPr>
    </w:p>
    <w:p w:rsidR="006126AB" w:rsidRDefault="006126AB" w:rsidP="003E33C7">
      <w:pPr>
        <w:rPr>
          <w:b/>
          <w:sz w:val="20"/>
          <w:szCs w:val="20"/>
        </w:rPr>
      </w:pPr>
    </w:p>
    <w:p w:rsidR="006126AB" w:rsidRDefault="006126AB" w:rsidP="003E33C7">
      <w:pPr>
        <w:rPr>
          <w:b/>
          <w:sz w:val="20"/>
          <w:szCs w:val="20"/>
        </w:rPr>
      </w:pPr>
    </w:p>
    <w:p w:rsidR="006126AB" w:rsidRDefault="006126AB" w:rsidP="003E33C7">
      <w:pPr>
        <w:rPr>
          <w:b/>
          <w:sz w:val="20"/>
          <w:szCs w:val="20"/>
        </w:rPr>
      </w:pPr>
    </w:p>
    <w:p w:rsidR="006126AB" w:rsidRDefault="006126AB" w:rsidP="003E33C7">
      <w:pPr>
        <w:rPr>
          <w:b/>
          <w:sz w:val="20"/>
          <w:szCs w:val="20"/>
        </w:rPr>
      </w:pPr>
      <w:r>
        <w:rPr>
          <w:noProof/>
          <w:lang w:eastAsia="es-MX"/>
        </w:rPr>
        <w:lastRenderedPageBreak/>
        <w:drawing>
          <wp:inline distT="0" distB="0" distL="0" distR="0" wp14:anchorId="0C6F9F98" wp14:editId="314A348E">
            <wp:extent cx="904875" cy="981075"/>
            <wp:effectExtent l="0" t="0" r="0" b="0"/>
            <wp:docPr id="4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126AB" w:rsidRDefault="006126AB" w:rsidP="003E33C7">
      <w:pPr>
        <w:rPr>
          <w:b/>
          <w:sz w:val="20"/>
          <w:szCs w:val="20"/>
        </w:rPr>
      </w:pPr>
    </w:p>
    <w:p w:rsidR="00F977CC" w:rsidRPr="006126AB" w:rsidRDefault="00F977CC" w:rsidP="003E33C7">
      <w:pPr>
        <w:rPr>
          <w:b/>
          <w:sz w:val="20"/>
          <w:szCs w:val="20"/>
        </w:rPr>
      </w:pPr>
      <w:r w:rsidRPr="006126AB">
        <w:rPr>
          <w:b/>
          <w:sz w:val="20"/>
          <w:szCs w:val="20"/>
        </w:rPr>
        <w:t>III.-</w:t>
      </w:r>
      <w:r w:rsidRPr="006126AB">
        <w:rPr>
          <w:b/>
          <w:sz w:val="20"/>
          <w:szCs w:val="20"/>
        </w:rPr>
        <w:tab/>
        <w:t>¿Qué es el Presupuesto de Egresos y cuál es su importancia?</w:t>
      </w:r>
    </w:p>
    <w:p w:rsidR="008D3439" w:rsidRPr="006126AB" w:rsidRDefault="008D3439" w:rsidP="008D3439">
      <w:pPr>
        <w:jc w:val="both"/>
        <w:rPr>
          <w:sz w:val="20"/>
          <w:szCs w:val="20"/>
        </w:rPr>
      </w:pPr>
      <w:r w:rsidRPr="006126AB">
        <w:rPr>
          <w:sz w:val="20"/>
          <w:szCs w:val="20"/>
        </w:rPr>
        <w:t>Es el documento jurídico aprobado por el H. Congreso del Estado</w:t>
      </w:r>
      <w:r w:rsidR="00080F79" w:rsidRPr="006126AB">
        <w:rPr>
          <w:sz w:val="20"/>
          <w:szCs w:val="20"/>
        </w:rPr>
        <w:t>,</w:t>
      </w:r>
      <w:r w:rsidRPr="006126AB">
        <w:rPr>
          <w:sz w:val="20"/>
          <w:szCs w:val="20"/>
        </w:rPr>
        <w:t xml:space="preserve"> a iniciativa del C. Gobernador, en el cual se </w:t>
      </w:r>
      <w:r w:rsidR="00080F79" w:rsidRPr="006126AB">
        <w:rPr>
          <w:sz w:val="20"/>
          <w:szCs w:val="20"/>
        </w:rPr>
        <w:t xml:space="preserve">autoriza el monto </w:t>
      </w:r>
      <w:r w:rsidR="00593F3E" w:rsidRPr="006126AB">
        <w:rPr>
          <w:sz w:val="20"/>
          <w:szCs w:val="20"/>
        </w:rPr>
        <w:t xml:space="preserve">anual </w:t>
      </w:r>
      <w:r w:rsidR="00080F79" w:rsidRPr="006126AB">
        <w:rPr>
          <w:sz w:val="20"/>
          <w:szCs w:val="20"/>
        </w:rPr>
        <w:t>d</w:t>
      </w:r>
      <w:r w:rsidRPr="006126AB">
        <w:rPr>
          <w:sz w:val="20"/>
          <w:szCs w:val="20"/>
        </w:rPr>
        <w:t xml:space="preserve">el gasto público que debe </w:t>
      </w:r>
      <w:r w:rsidR="00593F3E" w:rsidRPr="006126AB">
        <w:rPr>
          <w:sz w:val="20"/>
          <w:szCs w:val="20"/>
        </w:rPr>
        <w:t>ejercer</w:t>
      </w:r>
      <w:r w:rsidRPr="006126AB">
        <w:rPr>
          <w:sz w:val="20"/>
          <w:szCs w:val="20"/>
        </w:rPr>
        <w:t xml:space="preserve"> el Gobierno </w:t>
      </w:r>
      <w:r w:rsidR="00593F3E" w:rsidRPr="006126AB">
        <w:rPr>
          <w:sz w:val="20"/>
          <w:szCs w:val="20"/>
        </w:rPr>
        <w:t>del Estado</w:t>
      </w:r>
      <w:r w:rsidRPr="006126AB">
        <w:rPr>
          <w:sz w:val="20"/>
          <w:szCs w:val="20"/>
        </w:rPr>
        <w:t xml:space="preserve"> </w:t>
      </w:r>
      <w:r w:rsidR="00593F3E" w:rsidRPr="006126AB">
        <w:rPr>
          <w:sz w:val="20"/>
          <w:szCs w:val="20"/>
        </w:rPr>
        <w:t xml:space="preserve">en los diversos programas públicos </w:t>
      </w:r>
      <w:r w:rsidR="00F07C61" w:rsidRPr="006126AB">
        <w:rPr>
          <w:sz w:val="20"/>
          <w:szCs w:val="20"/>
        </w:rPr>
        <w:t>y el</w:t>
      </w:r>
      <w:r w:rsidRPr="006126AB">
        <w:rPr>
          <w:sz w:val="20"/>
          <w:szCs w:val="20"/>
        </w:rPr>
        <w:t xml:space="preserve"> desempeño de sus funciones. </w:t>
      </w:r>
    </w:p>
    <w:p w:rsidR="008D3439" w:rsidRPr="006126AB" w:rsidRDefault="009E2847" w:rsidP="00C77770">
      <w:pPr>
        <w:spacing w:after="0" w:line="240" w:lineRule="auto"/>
        <w:jc w:val="both"/>
        <w:rPr>
          <w:sz w:val="20"/>
          <w:szCs w:val="20"/>
        </w:rPr>
      </w:pPr>
      <w:r w:rsidRPr="006126AB">
        <w:rPr>
          <w:sz w:val="20"/>
          <w:szCs w:val="20"/>
        </w:rPr>
        <w:t>E</w:t>
      </w:r>
      <w:r w:rsidR="00E81E3D" w:rsidRPr="006126AB">
        <w:rPr>
          <w:sz w:val="20"/>
          <w:szCs w:val="20"/>
        </w:rPr>
        <w:t>l P</w:t>
      </w:r>
      <w:r w:rsidR="008D3439" w:rsidRPr="006126AB">
        <w:rPr>
          <w:sz w:val="20"/>
          <w:szCs w:val="20"/>
        </w:rPr>
        <w:t>resupuesto de Egresos</w:t>
      </w:r>
      <w:r w:rsidR="000E0670" w:rsidRPr="006126AB">
        <w:rPr>
          <w:sz w:val="20"/>
          <w:szCs w:val="20"/>
        </w:rPr>
        <w:t xml:space="preserve"> contiene</w:t>
      </w:r>
      <w:r w:rsidR="00F24457" w:rsidRPr="006126AB">
        <w:rPr>
          <w:sz w:val="20"/>
          <w:szCs w:val="20"/>
        </w:rPr>
        <w:t xml:space="preserve"> </w:t>
      </w:r>
      <w:r w:rsidR="000E0670" w:rsidRPr="006126AB">
        <w:rPr>
          <w:sz w:val="20"/>
          <w:szCs w:val="20"/>
        </w:rPr>
        <w:t xml:space="preserve">información valiosa para la ciudadanía, ya que en él se refleja las prioridades del gasto e </w:t>
      </w:r>
      <w:r w:rsidR="00F07C61" w:rsidRPr="006126AB">
        <w:rPr>
          <w:sz w:val="20"/>
          <w:szCs w:val="20"/>
        </w:rPr>
        <w:t>indica cuánto</w:t>
      </w:r>
      <w:r w:rsidR="000275EF" w:rsidRPr="006126AB">
        <w:rPr>
          <w:sz w:val="20"/>
          <w:szCs w:val="20"/>
        </w:rPr>
        <w:t xml:space="preserve">, </w:t>
      </w:r>
      <w:r w:rsidR="000E0670" w:rsidRPr="006126AB">
        <w:rPr>
          <w:sz w:val="20"/>
          <w:szCs w:val="20"/>
        </w:rPr>
        <w:t xml:space="preserve">quién, </w:t>
      </w:r>
      <w:r w:rsidR="00066214" w:rsidRPr="006126AB">
        <w:rPr>
          <w:sz w:val="20"/>
          <w:szCs w:val="20"/>
        </w:rPr>
        <w:t>en qué</w:t>
      </w:r>
      <w:r w:rsidR="000275EF" w:rsidRPr="006126AB">
        <w:rPr>
          <w:sz w:val="20"/>
          <w:szCs w:val="20"/>
        </w:rPr>
        <w:t xml:space="preserve"> y para qué</w:t>
      </w:r>
      <w:r w:rsidR="00066214" w:rsidRPr="006126AB">
        <w:rPr>
          <w:sz w:val="20"/>
          <w:szCs w:val="20"/>
        </w:rPr>
        <w:t xml:space="preserve"> se </w:t>
      </w:r>
      <w:r w:rsidR="00593F3E" w:rsidRPr="006126AB">
        <w:rPr>
          <w:sz w:val="20"/>
          <w:szCs w:val="20"/>
        </w:rPr>
        <w:t>aplicarán</w:t>
      </w:r>
      <w:r w:rsidR="00066214" w:rsidRPr="006126AB">
        <w:rPr>
          <w:sz w:val="20"/>
          <w:szCs w:val="20"/>
        </w:rPr>
        <w:t xml:space="preserve"> los Ingresos </w:t>
      </w:r>
      <w:r w:rsidR="00593F3E" w:rsidRPr="006126AB">
        <w:rPr>
          <w:sz w:val="20"/>
          <w:szCs w:val="20"/>
        </w:rPr>
        <w:t xml:space="preserve">y egresos </w:t>
      </w:r>
      <w:r w:rsidR="00066214" w:rsidRPr="006126AB">
        <w:rPr>
          <w:sz w:val="20"/>
          <w:szCs w:val="20"/>
        </w:rPr>
        <w:t>aprobados al Gobierno del Estado.</w:t>
      </w:r>
      <w:r w:rsidR="008D3439" w:rsidRPr="006126AB">
        <w:rPr>
          <w:sz w:val="20"/>
          <w:szCs w:val="20"/>
        </w:rPr>
        <w:t xml:space="preserve"> </w:t>
      </w:r>
      <w:r w:rsidR="00593F3E" w:rsidRPr="006126AB">
        <w:rPr>
          <w:sz w:val="20"/>
          <w:szCs w:val="20"/>
        </w:rPr>
        <w:t>Además</w:t>
      </w:r>
      <w:r w:rsidR="000E0670" w:rsidRPr="006126AB">
        <w:rPr>
          <w:sz w:val="20"/>
          <w:szCs w:val="20"/>
        </w:rPr>
        <w:t xml:space="preserve">, </w:t>
      </w:r>
      <w:r w:rsidR="00F07C61" w:rsidRPr="006126AB">
        <w:rPr>
          <w:sz w:val="20"/>
          <w:szCs w:val="20"/>
        </w:rPr>
        <w:t>es una</w:t>
      </w:r>
      <w:r w:rsidR="000E0670" w:rsidRPr="006126AB">
        <w:rPr>
          <w:sz w:val="20"/>
          <w:szCs w:val="20"/>
        </w:rPr>
        <w:t xml:space="preserve"> herramienta </w:t>
      </w:r>
      <w:r w:rsidR="00593F3E" w:rsidRPr="006126AB">
        <w:rPr>
          <w:sz w:val="20"/>
          <w:szCs w:val="20"/>
        </w:rPr>
        <w:t xml:space="preserve">que permite a los miembros y organizaciones de la sociedad, así como a los entes fiscalizadores, vigilar que los recursos públicos se ejerzan de manera </w:t>
      </w:r>
      <w:r w:rsidR="00F07C61" w:rsidRPr="006126AB">
        <w:rPr>
          <w:sz w:val="20"/>
          <w:szCs w:val="20"/>
        </w:rPr>
        <w:t>eficiente y</w:t>
      </w:r>
      <w:r w:rsidR="00593F3E" w:rsidRPr="006126AB">
        <w:rPr>
          <w:sz w:val="20"/>
          <w:szCs w:val="20"/>
        </w:rPr>
        <w:t xml:space="preserve"> eficaz, así como dar seguimiento y</w:t>
      </w:r>
      <w:r w:rsidR="008D3439" w:rsidRPr="006126AB">
        <w:rPr>
          <w:sz w:val="20"/>
          <w:szCs w:val="20"/>
        </w:rPr>
        <w:t xml:space="preserve"> evaluar el </w:t>
      </w:r>
      <w:r w:rsidR="00593F3E" w:rsidRPr="006126AB">
        <w:rPr>
          <w:sz w:val="20"/>
          <w:szCs w:val="20"/>
        </w:rPr>
        <w:t>cumplimiento de las metas, resultados y objetivos de los programas público</w:t>
      </w:r>
      <w:r w:rsidR="00D230C5" w:rsidRPr="006126AB">
        <w:rPr>
          <w:sz w:val="20"/>
          <w:szCs w:val="20"/>
        </w:rPr>
        <w:t>.</w:t>
      </w:r>
    </w:p>
    <w:p w:rsidR="003A288B" w:rsidRDefault="003A288B" w:rsidP="008D3439">
      <w:pPr>
        <w:jc w:val="both"/>
        <w:rPr>
          <w:sz w:val="20"/>
          <w:szCs w:val="20"/>
        </w:rPr>
      </w:pPr>
    </w:p>
    <w:p w:rsidR="006126AB" w:rsidRDefault="006126AB" w:rsidP="008D3439">
      <w:pPr>
        <w:jc w:val="both"/>
        <w:rPr>
          <w:sz w:val="20"/>
          <w:szCs w:val="20"/>
        </w:rPr>
      </w:pPr>
    </w:p>
    <w:p w:rsidR="006126AB" w:rsidRPr="006126AB" w:rsidRDefault="006126AB" w:rsidP="008D3439">
      <w:pPr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2928"/>
      </w:tblGrid>
      <w:tr w:rsidR="003A288B" w:rsidRPr="006126AB" w:rsidTr="00D3761B">
        <w:trPr>
          <w:trHeight w:val="20"/>
        </w:trPr>
        <w:tc>
          <w:tcPr>
            <w:tcW w:w="354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:rsidR="003A288B" w:rsidRPr="006126AB" w:rsidRDefault="003A288B" w:rsidP="00D376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¿Quién gasta en 2015?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A288B" w:rsidRPr="006126AB" w:rsidRDefault="003A288B" w:rsidP="00D376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Importe</w:t>
            </w:r>
          </w:p>
        </w:tc>
      </w:tr>
      <w:tr w:rsidR="003A288B" w:rsidRPr="006126AB" w:rsidTr="00277410">
        <w:trPr>
          <w:trHeight w:val="20"/>
        </w:trPr>
        <w:tc>
          <w:tcPr>
            <w:tcW w:w="3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88B" w:rsidRPr="006126AB" w:rsidRDefault="003A288B" w:rsidP="00D376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88B" w:rsidRPr="006126AB" w:rsidRDefault="003A288B" w:rsidP="00D3761B">
            <w:pPr>
              <w:spacing w:before="60" w:after="6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35,811,880,382.00</w:t>
            </w:r>
          </w:p>
        </w:tc>
      </w:tr>
      <w:tr w:rsidR="003A288B" w:rsidRPr="006126AB" w:rsidTr="00D3761B">
        <w:trPr>
          <w:trHeight w:val="20"/>
        </w:trPr>
        <w:tc>
          <w:tcPr>
            <w:tcW w:w="3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88B" w:rsidRPr="006126AB" w:rsidRDefault="00251734" w:rsidP="00D3761B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Poder Ejecutivo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88B" w:rsidRPr="006126AB" w:rsidRDefault="003A288B" w:rsidP="00D3761B">
            <w:pPr>
              <w:spacing w:before="60" w:after="6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21,378,282,223.00</w:t>
            </w:r>
          </w:p>
        </w:tc>
      </w:tr>
      <w:tr w:rsidR="003A288B" w:rsidRPr="006126AB" w:rsidTr="00277410">
        <w:trPr>
          <w:trHeight w:val="20"/>
        </w:trPr>
        <w:tc>
          <w:tcPr>
            <w:tcW w:w="3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88B" w:rsidRPr="006126AB" w:rsidRDefault="00251734" w:rsidP="00D3761B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Poder Legislativo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88B" w:rsidRPr="006126AB" w:rsidRDefault="003A288B" w:rsidP="00D3761B">
            <w:pPr>
              <w:spacing w:before="60" w:after="6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183,059,740.00</w:t>
            </w:r>
          </w:p>
        </w:tc>
      </w:tr>
      <w:tr w:rsidR="003A288B" w:rsidRPr="006126AB" w:rsidTr="00D3761B">
        <w:trPr>
          <w:trHeight w:val="20"/>
        </w:trPr>
        <w:tc>
          <w:tcPr>
            <w:tcW w:w="3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88B" w:rsidRPr="006126AB" w:rsidRDefault="00251734" w:rsidP="00D3761B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Poder Judicial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88B" w:rsidRPr="006126AB" w:rsidRDefault="003A288B" w:rsidP="00D3761B">
            <w:pPr>
              <w:spacing w:before="60" w:after="6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460,000,000.00</w:t>
            </w:r>
          </w:p>
        </w:tc>
      </w:tr>
      <w:tr w:rsidR="003A288B" w:rsidRPr="006126AB" w:rsidTr="00277410">
        <w:trPr>
          <w:trHeight w:val="20"/>
        </w:trPr>
        <w:tc>
          <w:tcPr>
            <w:tcW w:w="3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88B" w:rsidRPr="006126AB" w:rsidRDefault="00251734" w:rsidP="00D3761B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Organismos  Autónomos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88B" w:rsidRPr="006126AB" w:rsidRDefault="003A288B" w:rsidP="00D3761B">
            <w:pPr>
              <w:spacing w:before="60" w:after="6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2,716,049,455.00</w:t>
            </w:r>
          </w:p>
        </w:tc>
      </w:tr>
      <w:tr w:rsidR="003A288B" w:rsidRPr="006126AB" w:rsidTr="00D3761B">
        <w:trPr>
          <w:trHeight w:val="20"/>
        </w:trPr>
        <w:tc>
          <w:tcPr>
            <w:tcW w:w="3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88B" w:rsidRPr="006126AB" w:rsidRDefault="00251734" w:rsidP="00D3761B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Entidades Paraestatales y Fideicomisos no Empresariales y no Financieros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88B" w:rsidRPr="006126AB" w:rsidRDefault="003A288B" w:rsidP="00D3761B">
            <w:pPr>
              <w:spacing w:before="60" w:after="6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9,825,649,692.00</w:t>
            </w:r>
          </w:p>
        </w:tc>
      </w:tr>
      <w:tr w:rsidR="003A288B" w:rsidRPr="006126AB" w:rsidTr="00277410">
        <w:trPr>
          <w:trHeight w:val="20"/>
        </w:trPr>
        <w:tc>
          <w:tcPr>
            <w:tcW w:w="3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88B" w:rsidRPr="006126AB" w:rsidRDefault="00251734" w:rsidP="00D3761B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Instituciones Públicas de Seguridad Social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88B" w:rsidRPr="006126AB" w:rsidRDefault="003A288B" w:rsidP="00D3761B">
            <w:pPr>
              <w:spacing w:before="60" w:after="6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1,174,856,912.00</w:t>
            </w:r>
          </w:p>
        </w:tc>
      </w:tr>
      <w:tr w:rsidR="003A288B" w:rsidRPr="006126AB" w:rsidTr="00D3761B">
        <w:trPr>
          <w:trHeight w:val="20"/>
        </w:trPr>
        <w:tc>
          <w:tcPr>
            <w:tcW w:w="3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88B" w:rsidRPr="006126AB" w:rsidRDefault="00251734" w:rsidP="00D3761B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Entidades Paraestatales Empresariales no Financieras con Participación Estatal Mayoritaria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88B" w:rsidRPr="006126AB" w:rsidRDefault="003A288B" w:rsidP="00D3761B">
            <w:pPr>
              <w:spacing w:before="60" w:after="6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73,982,360.00</w:t>
            </w:r>
          </w:p>
        </w:tc>
      </w:tr>
    </w:tbl>
    <w:p w:rsidR="00D230C5" w:rsidRDefault="00D230C5" w:rsidP="00277410">
      <w:pPr>
        <w:spacing w:after="0"/>
        <w:jc w:val="both"/>
        <w:rPr>
          <w:sz w:val="20"/>
          <w:szCs w:val="20"/>
        </w:rPr>
      </w:pPr>
    </w:p>
    <w:p w:rsidR="006126AB" w:rsidRDefault="006126AB" w:rsidP="00277410">
      <w:pPr>
        <w:spacing w:after="0"/>
        <w:jc w:val="both"/>
        <w:rPr>
          <w:sz w:val="20"/>
          <w:szCs w:val="20"/>
        </w:rPr>
      </w:pPr>
    </w:p>
    <w:p w:rsidR="006126AB" w:rsidRDefault="006126AB" w:rsidP="00277410">
      <w:pPr>
        <w:spacing w:after="0"/>
        <w:jc w:val="both"/>
        <w:rPr>
          <w:sz w:val="20"/>
          <w:szCs w:val="20"/>
        </w:rPr>
      </w:pPr>
    </w:p>
    <w:p w:rsidR="006126AB" w:rsidRDefault="006126AB" w:rsidP="00277410">
      <w:pPr>
        <w:spacing w:after="0"/>
        <w:jc w:val="both"/>
        <w:rPr>
          <w:sz w:val="20"/>
          <w:szCs w:val="20"/>
        </w:rPr>
      </w:pPr>
    </w:p>
    <w:p w:rsidR="006126AB" w:rsidRDefault="006126AB" w:rsidP="00277410">
      <w:pPr>
        <w:spacing w:after="0"/>
        <w:jc w:val="both"/>
        <w:rPr>
          <w:sz w:val="20"/>
          <w:szCs w:val="20"/>
        </w:rPr>
      </w:pPr>
    </w:p>
    <w:p w:rsidR="006126AB" w:rsidRDefault="006126AB" w:rsidP="00277410">
      <w:pPr>
        <w:spacing w:after="0"/>
        <w:jc w:val="both"/>
        <w:rPr>
          <w:sz w:val="20"/>
          <w:szCs w:val="20"/>
        </w:rPr>
      </w:pPr>
    </w:p>
    <w:p w:rsidR="006126AB" w:rsidRDefault="006126AB" w:rsidP="00277410">
      <w:pPr>
        <w:spacing w:after="0"/>
        <w:jc w:val="both"/>
        <w:rPr>
          <w:sz w:val="20"/>
          <w:szCs w:val="20"/>
        </w:rPr>
      </w:pPr>
    </w:p>
    <w:p w:rsidR="006126AB" w:rsidRDefault="006126AB" w:rsidP="00277410">
      <w:pPr>
        <w:spacing w:after="0"/>
        <w:jc w:val="both"/>
        <w:rPr>
          <w:sz w:val="20"/>
          <w:szCs w:val="20"/>
        </w:rPr>
      </w:pPr>
    </w:p>
    <w:p w:rsidR="006126AB" w:rsidRDefault="006126AB" w:rsidP="00277410">
      <w:pPr>
        <w:spacing w:after="0"/>
        <w:jc w:val="both"/>
        <w:rPr>
          <w:sz w:val="20"/>
          <w:szCs w:val="20"/>
        </w:rPr>
      </w:pPr>
    </w:p>
    <w:p w:rsidR="006126AB" w:rsidRDefault="006126AB" w:rsidP="00277410">
      <w:pPr>
        <w:spacing w:after="0"/>
        <w:jc w:val="both"/>
        <w:rPr>
          <w:sz w:val="20"/>
          <w:szCs w:val="20"/>
        </w:rPr>
      </w:pPr>
    </w:p>
    <w:p w:rsidR="006126AB" w:rsidRDefault="006126AB" w:rsidP="00277410">
      <w:pPr>
        <w:spacing w:after="0"/>
        <w:jc w:val="both"/>
        <w:rPr>
          <w:sz w:val="20"/>
          <w:szCs w:val="20"/>
        </w:rPr>
      </w:pPr>
      <w:r>
        <w:rPr>
          <w:noProof/>
          <w:lang w:eastAsia="es-MX"/>
        </w:rPr>
        <w:lastRenderedPageBreak/>
        <w:drawing>
          <wp:inline distT="0" distB="0" distL="0" distR="0" wp14:anchorId="09333366" wp14:editId="0C478E53">
            <wp:extent cx="904875" cy="981075"/>
            <wp:effectExtent l="0" t="0" r="0" b="0"/>
            <wp:docPr id="6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126AB" w:rsidRDefault="006126AB" w:rsidP="00277410">
      <w:pPr>
        <w:spacing w:after="0"/>
        <w:jc w:val="both"/>
        <w:rPr>
          <w:sz w:val="20"/>
          <w:szCs w:val="20"/>
        </w:rPr>
      </w:pPr>
    </w:p>
    <w:p w:rsidR="006126AB" w:rsidRDefault="006126AB" w:rsidP="00277410">
      <w:pPr>
        <w:spacing w:after="0"/>
        <w:jc w:val="both"/>
        <w:rPr>
          <w:sz w:val="20"/>
          <w:szCs w:val="20"/>
        </w:rPr>
      </w:pPr>
    </w:p>
    <w:p w:rsidR="006126AB" w:rsidRPr="006126AB" w:rsidRDefault="006126AB" w:rsidP="00277410">
      <w:pPr>
        <w:spacing w:after="0"/>
        <w:jc w:val="both"/>
        <w:rPr>
          <w:sz w:val="20"/>
          <w:szCs w:val="20"/>
        </w:rPr>
      </w:pPr>
    </w:p>
    <w:p w:rsidR="00F7265D" w:rsidRPr="006126AB" w:rsidRDefault="00F71773" w:rsidP="003E33C7">
      <w:pPr>
        <w:rPr>
          <w:sz w:val="20"/>
          <w:szCs w:val="20"/>
        </w:rPr>
      </w:pPr>
      <w:r w:rsidRPr="006126AB">
        <w:rPr>
          <w:noProof/>
          <w:sz w:val="20"/>
          <w:szCs w:val="20"/>
          <w:lang w:eastAsia="es-MX"/>
        </w:rPr>
        <w:drawing>
          <wp:inline distT="0" distB="0" distL="0" distR="0" wp14:anchorId="575CA3D0" wp14:editId="18054A57">
            <wp:extent cx="5548117" cy="5393987"/>
            <wp:effectExtent l="19050" t="0" r="14483" b="0"/>
            <wp:docPr id="10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26AB" w:rsidRDefault="006126AB" w:rsidP="003E33C7">
      <w:pPr>
        <w:rPr>
          <w:b/>
          <w:sz w:val="20"/>
          <w:szCs w:val="20"/>
        </w:rPr>
      </w:pPr>
    </w:p>
    <w:p w:rsidR="006126AB" w:rsidRDefault="006126AB" w:rsidP="003E33C7">
      <w:pPr>
        <w:rPr>
          <w:b/>
          <w:sz w:val="20"/>
          <w:szCs w:val="20"/>
        </w:rPr>
      </w:pPr>
    </w:p>
    <w:p w:rsidR="006126AB" w:rsidRDefault="006126AB" w:rsidP="003E33C7">
      <w:pPr>
        <w:rPr>
          <w:b/>
          <w:sz w:val="20"/>
          <w:szCs w:val="20"/>
        </w:rPr>
      </w:pPr>
    </w:p>
    <w:p w:rsidR="006126AB" w:rsidRDefault="006126AB" w:rsidP="003E33C7">
      <w:pPr>
        <w:rPr>
          <w:b/>
          <w:sz w:val="20"/>
          <w:szCs w:val="20"/>
        </w:rPr>
      </w:pPr>
    </w:p>
    <w:p w:rsidR="006126AB" w:rsidRDefault="006126AB" w:rsidP="003E33C7">
      <w:pPr>
        <w:rPr>
          <w:b/>
          <w:sz w:val="20"/>
          <w:szCs w:val="20"/>
        </w:rPr>
      </w:pPr>
      <w:r>
        <w:rPr>
          <w:noProof/>
          <w:lang w:eastAsia="es-MX"/>
        </w:rPr>
        <w:lastRenderedPageBreak/>
        <w:drawing>
          <wp:inline distT="0" distB="0" distL="0" distR="0" wp14:anchorId="09333366" wp14:editId="0C478E53">
            <wp:extent cx="904875" cy="981075"/>
            <wp:effectExtent l="0" t="0" r="0" b="0"/>
            <wp:docPr id="7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126AB" w:rsidRDefault="006126AB" w:rsidP="003E33C7">
      <w:pPr>
        <w:rPr>
          <w:b/>
          <w:sz w:val="20"/>
          <w:szCs w:val="20"/>
        </w:rPr>
      </w:pPr>
    </w:p>
    <w:p w:rsidR="00F977CC" w:rsidRPr="006126AB" w:rsidRDefault="00F977CC" w:rsidP="003E33C7">
      <w:pPr>
        <w:rPr>
          <w:b/>
          <w:sz w:val="20"/>
          <w:szCs w:val="20"/>
        </w:rPr>
      </w:pPr>
      <w:r w:rsidRPr="006126AB">
        <w:rPr>
          <w:b/>
          <w:sz w:val="20"/>
          <w:szCs w:val="20"/>
        </w:rPr>
        <w:t>IV.-</w:t>
      </w:r>
      <w:r w:rsidRPr="006126AB">
        <w:rPr>
          <w:b/>
          <w:sz w:val="20"/>
          <w:szCs w:val="20"/>
        </w:rPr>
        <w:tab/>
        <w:t>¿En qué se gasta?</w:t>
      </w:r>
    </w:p>
    <w:p w:rsidR="005C4D22" w:rsidRPr="006126AB" w:rsidRDefault="005C4D22" w:rsidP="008D3439">
      <w:pPr>
        <w:jc w:val="both"/>
        <w:rPr>
          <w:sz w:val="20"/>
          <w:szCs w:val="20"/>
        </w:rPr>
      </w:pPr>
      <w:r w:rsidRPr="006126AB">
        <w:rPr>
          <w:sz w:val="20"/>
          <w:szCs w:val="20"/>
        </w:rPr>
        <w:t>El presupuesto de egresos se destina principalmente al cumplimiento de los objetivos de los programas sociales y para el desarrollo humano como son la educación, la salud, el combate a la pobreza, a los programas de fomento a las actividades agropecuarias,</w:t>
      </w:r>
      <w:r w:rsidR="00E81E3D" w:rsidRPr="006126AB">
        <w:rPr>
          <w:sz w:val="20"/>
          <w:szCs w:val="20"/>
        </w:rPr>
        <w:t xml:space="preserve"> económicas y turísticas, </w:t>
      </w:r>
      <w:r w:rsidRPr="006126AB">
        <w:rPr>
          <w:sz w:val="20"/>
          <w:szCs w:val="20"/>
        </w:rPr>
        <w:t xml:space="preserve">así </w:t>
      </w:r>
      <w:r w:rsidR="00DA64DD" w:rsidRPr="006126AB">
        <w:rPr>
          <w:sz w:val="20"/>
          <w:szCs w:val="20"/>
        </w:rPr>
        <w:t>como a</w:t>
      </w:r>
      <w:r w:rsidRPr="006126AB">
        <w:rPr>
          <w:sz w:val="20"/>
          <w:szCs w:val="20"/>
        </w:rPr>
        <w:t xml:space="preserve"> la inversión en infraestructura de agua potable, riego, </w:t>
      </w:r>
      <w:r w:rsidR="00450222" w:rsidRPr="006126AB">
        <w:rPr>
          <w:sz w:val="20"/>
          <w:szCs w:val="20"/>
        </w:rPr>
        <w:t xml:space="preserve">electrificación, alumbrado público, pisos firmes, baños, </w:t>
      </w:r>
      <w:r w:rsidRPr="006126AB">
        <w:rPr>
          <w:sz w:val="20"/>
          <w:szCs w:val="20"/>
        </w:rPr>
        <w:t xml:space="preserve">carreteras y caminos, escuelas, hospitales, seguridad pública y justicia, entre otras. </w:t>
      </w:r>
    </w:p>
    <w:p w:rsidR="00450222" w:rsidRPr="006126AB" w:rsidRDefault="005C4D22" w:rsidP="008D3439">
      <w:pPr>
        <w:jc w:val="both"/>
        <w:rPr>
          <w:sz w:val="20"/>
          <w:szCs w:val="20"/>
        </w:rPr>
      </w:pPr>
      <w:r w:rsidRPr="006126AB">
        <w:rPr>
          <w:sz w:val="20"/>
          <w:szCs w:val="20"/>
        </w:rPr>
        <w:t xml:space="preserve">El gasto público denominado corriente se aplica principalmente al pago de los salarios </w:t>
      </w:r>
      <w:r w:rsidR="00450222" w:rsidRPr="006126AB">
        <w:rPr>
          <w:sz w:val="20"/>
          <w:szCs w:val="20"/>
        </w:rPr>
        <w:t>de los maestros de escuela, médicos, enfermeras, policías, jueces, personal de la Fiscalía, defensores de oficio, mediadores</w:t>
      </w:r>
      <w:r w:rsidR="00540A46" w:rsidRPr="006126AB">
        <w:rPr>
          <w:sz w:val="20"/>
          <w:szCs w:val="20"/>
        </w:rPr>
        <w:t xml:space="preserve"> y demás empleados públicos</w:t>
      </w:r>
      <w:r w:rsidR="00450222" w:rsidRPr="006126AB">
        <w:rPr>
          <w:sz w:val="20"/>
          <w:szCs w:val="20"/>
        </w:rPr>
        <w:t>, así como a proporcionar becas, desayunos escolares, lentes, chamarras, zapatos, paquetes escolares, libros de texto, cobijas, in</w:t>
      </w:r>
      <w:r w:rsidR="0077628B" w:rsidRPr="006126AB">
        <w:rPr>
          <w:sz w:val="20"/>
          <w:szCs w:val="20"/>
        </w:rPr>
        <w:t>sumos agropecuarios y créditos,</w:t>
      </w:r>
      <w:r w:rsidR="00450222" w:rsidRPr="006126AB">
        <w:rPr>
          <w:sz w:val="20"/>
          <w:szCs w:val="20"/>
        </w:rPr>
        <w:t xml:space="preserve"> entre otros conceptos. </w:t>
      </w:r>
    </w:p>
    <w:p w:rsidR="008D3439" w:rsidRPr="006126AB" w:rsidRDefault="00450222" w:rsidP="00540A46">
      <w:pPr>
        <w:jc w:val="both"/>
        <w:rPr>
          <w:sz w:val="20"/>
          <w:szCs w:val="20"/>
        </w:rPr>
      </w:pPr>
      <w:r w:rsidRPr="006126AB">
        <w:rPr>
          <w:sz w:val="20"/>
          <w:szCs w:val="20"/>
        </w:rPr>
        <w:t>Asimismo</w:t>
      </w:r>
      <w:r w:rsidR="00540A46" w:rsidRPr="006126AB">
        <w:rPr>
          <w:sz w:val="20"/>
          <w:szCs w:val="20"/>
        </w:rPr>
        <w:t>,</w:t>
      </w:r>
      <w:r w:rsidRPr="006126AB">
        <w:rPr>
          <w:sz w:val="20"/>
          <w:szCs w:val="20"/>
        </w:rPr>
        <w:t xml:space="preserve"> los recursos públicos se </w:t>
      </w:r>
      <w:r w:rsidR="00540A46" w:rsidRPr="006126AB">
        <w:rPr>
          <w:sz w:val="20"/>
          <w:szCs w:val="20"/>
        </w:rPr>
        <w:t>destinan</w:t>
      </w:r>
      <w:r w:rsidRPr="006126AB">
        <w:rPr>
          <w:sz w:val="20"/>
          <w:szCs w:val="20"/>
        </w:rPr>
        <w:t xml:space="preserve"> a cubrir los gastos de operación de la Administración </w:t>
      </w:r>
      <w:r w:rsidR="00540A46" w:rsidRPr="006126AB">
        <w:rPr>
          <w:sz w:val="20"/>
          <w:szCs w:val="20"/>
        </w:rPr>
        <w:t>Pública del E</w:t>
      </w:r>
      <w:r w:rsidRPr="006126AB">
        <w:rPr>
          <w:sz w:val="20"/>
          <w:szCs w:val="20"/>
        </w:rPr>
        <w:t>stad</w:t>
      </w:r>
      <w:r w:rsidR="00540A46" w:rsidRPr="006126AB">
        <w:rPr>
          <w:sz w:val="20"/>
          <w:szCs w:val="20"/>
        </w:rPr>
        <w:t xml:space="preserve">o como </w:t>
      </w:r>
      <w:r w:rsidR="00C742B7" w:rsidRPr="006126AB">
        <w:rPr>
          <w:sz w:val="20"/>
          <w:szCs w:val="20"/>
        </w:rPr>
        <w:t>son la</w:t>
      </w:r>
      <w:r w:rsidR="008D3439" w:rsidRPr="006126AB">
        <w:rPr>
          <w:sz w:val="20"/>
          <w:szCs w:val="20"/>
        </w:rPr>
        <w:t xml:space="preserve"> adquisición de materiales y suministros; servicios </w:t>
      </w:r>
      <w:r w:rsidR="00540A46" w:rsidRPr="006126AB">
        <w:rPr>
          <w:sz w:val="20"/>
          <w:szCs w:val="20"/>
        </w:rPr>
        <w:t>de energía eléctrica, telefonía</w:t>
      </w:r>
      <w:r w:rsidR="008D3439" w:rsidRPr="006126AB">
        <w:rPr>
          <w:sz w:val="20"/>
          <w:szCs w:val="20"/>
        </w:rPr>
        <w:t>, agua potable, mantenimiento de equipo de transporte y maquinaria, aseguramiento de bienes patrimonia</w:t>
      </w:r>
      <w:r w:rsidR="00540A46" w:rsidRPr="006126AB">
        <w:rPr>
          <w:sz w:val="20"/>
          <w:szCs w:val="20"/>
        </w:rPr>
        <w:t>les, arrendamiento de inmueble</w:t>
      </w:r>
      <w:r w:rsidR="008D3439" w:rsidRPr="006126AB">
        <w:rPr>
          <w:sz w:val="20"/>
          <w:szCs w:val="20"/>
        </w:rPr>
        <w:t xml:space="preserve">s, </w:t>
      </w:r>
      <w:r w:rsidR="00540A46" w:rsidRPr="006126AB">
        <w:rPr>
          <w:sz w:val="20"/>
          <w:szCs w:val="20"/>
        </w:rPr>
        <w:t xml:space="preserve">entre otros, </w:t>
      </w:r>
      <w:r w:rsidR="008D3439" w:rsidRPr="006126AB">
        <w:rPr>
          <w:sz w:val="20"/>
          <w:szCs w:val="20"/>
        </w:rPr>
        <w:t>que hace</w:t>
      </w:r>
      <w:r w:rsidR="00540A46" w:rsidRPr="006126AB">
        <w:rPr>
          <w:sz w:val="20"/>
          <w:szCs w:val="20"/>
        </w:rPr>
        <w:t>n</w:t>
      </w:r>
      <w:r w:rsidR="008D3439" w:rsidRPr="006126AB">
        <w:rPr>
          <w:sz w:val="20"/>
          <w:szCs w:val="20"/>
        </w:rPr>
        <w:t xml:space="preserve"> posible a los </w:t>
      </w:r>
      <w:r w:rsidR="0077628B" w:rsidRPr="006126AB">
        <w:rPr>
          <w:sz w:val="20"/>
          <w:szCs w:val="20"/>
        </w:rPr>
        <w:t>servidores públicos</w:t>
      </w:r>
      <w:r w:rsidR="00540A46" w:rsidRPr="006126AB">
        <w:rPr>
          <w:sz w:val="20"/>
          <w:szCs w:val="20"/>
        </w:rPr>
        <w:t xml:space="preserve"> cumplir sus atribuciones</w:t>
      </w:r>
      <w:r w:rsidR="00DA64DD" w:rsidRPr="006126AB">
        <w:rPr>
          <w:sz w:val="20"/>
          <w:szCs w:val="20"/>
        </w:rPr>
        <w:t>. Igualmente, al</w:t>
      </w:r>
      <w:r w:rsidR="008D3439" w:rsidRPr="006126AB">
        <w:rPr>
          <w:sz w:val="20"/>
          <w:szCs w:val="20"/>
        </w:rPr>
        <w:t xml:space="preserve"> </w:t>
      </w:r>
      <w:r w:rsidR="006E0173" w:rsidRPr="006126AB">
        <w:rPr>
          <w:sz w:val="20"/>
          <w:szCs w:val="20"/>
        </w:rPr>
        <w:t>mantenimiento de inmuebles que permita su preservación como patrimonio</w:t>
      </w:r>
      <w:r w:rsidR="00540A46" w:rsidRPr="006126AB">
        <w:rPr>
          <w:sz w:val="20"/>
          <w:szCs w:val="20"/>
        </w:rPr>
        <w:t xml:space="preserve"> y</w:t>
      </w:r>
      <w:r w:rsidR="008D3439" w:rsidRPr="006126AB">
        <w:rPr>
          <w:sz w:val="20"/>
          <w:szCs w:val="20"/>
        </w:rPr>
        <w:t xml:space="preserve"> </w:t>
      </w:r>
      <w:r w:rsidR="00DA64DD" w:rsidRPr="006126AB">
        <w:rPr>
          <w:sz w:val="20"/>
          <w:szCs w:val="20"/>
        </w:rPr>
        <w:t xml:space="preserve">al </w:t>
      </w:r>
      <w:r w:rsidR="008D3439" w:rsidRPr="006126AB">
        <w:rPr>
          <w:sz w:val="20"/>
          <w:szCs w:val="20"/>
        </w:rPr>
        <w:t xml:space="preserve">pago de obligaciones </w:t>
      </w:r>
      <w:r w:rsidR="00540A46" w:rsidRPr="006126AB">
        <w:rPr>
          <w:sz w:val="20"/>
          <w:szCs w:val="20"/>
        </w:rPr>
        <w:t xml:space="preserve">en materia de </w:t>
      </w:r>
      <w:r w:rsidR="008D3439" w:rsidRPr="006126AB">
        <w:rPr>
          <w:sz w:val="20"/>
          <w:szCs w:val="20"/>
        </w:rPr>
        <w:t>deuda pública.</w:t>
      </w:r>
    </w:p>
    <w:p w:rsidR="003A288B" w:rsidRPr="006126AB" w:rsidRDefault="003A288B" w:rsidP="00540A46">
      <w:pPr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2928"/>
      </w:tblGrid>
      <w:tr w:rsidR="003A288B" w:rsidRPr="006126AB" w:rsidTr="00D3761B">
        <w:trPr>
          <w:trHeight w:val="330"/>
        </w:trPr>
        <w:tc>
          <w:tcPr>
            <w:tcW w:w="354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:rsidR="003A288B" w:rsidRPr="006126AB" w:rsidRDefault="003A288B" w:rsidP="006F26E2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¿En qué se gasta?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3A288B" w:rsidRPr="006126AB" w:rsidRDefault="003A288B" w:rsidP="006F26E2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Importe</w:t>
            </w:r>
          </w:p>
        </w:tc>
      </w:tr>
      <w:tr w:rsidR="003A288B" w:rsidRPr="006126AB" w:rsidTr="007A634F">
        <w:trPr>
          <w:trHeight w:val="330"/>
        </w:trPr>
        <w:tc>
          <w:tcPr>
            <w:tcW w:w="3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88B" w:rsidRPr="006126AB" w:rsidRDefault="003A288B" w:rsidP="006F26E2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35,811,880,382.00</w:t>
            </w:r>
          </w:p>
        </w:tc>
      </w:tr>
      <w:tr w:rsidR="003A288B" w:rsidRPr="006126AB" w:rsidTr="00D3761B">
        <w:trPr>
          <w:trHeight w:val="315"/>
        </w:trPr>
        <w:tc>
          <w:tcPr>
            <w:tcW w:w="3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Servicios Personales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9,630,940,655.00</w:t>
            </w:r>
          </w:p>
        </w:tc>
      </w:tr>
      <w:tr w:rsidR="003A288B" w:rsidRPr="006126AB" w:rsidTr="007A634F">
        <w:trPr>
          <w:trHeight w:val="315"/>
        </w:trPr>
        <w:tc>
          <w:tcPr>
            <w:tcW w:w="3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743,888,122.00</w:t>
            </w:r>
          </w:p>
        </w:tc>
      </w:tr>
      <w:tr w:rsidR="003A288B" w:rsidRPr="006126AB" w:rsidTr="00D3761B">
        <w:trPr>
          <w:trHeight w:val="315"/>
        </w:trPr>
        <w:tc>
          <w:tcPr>
            <w:tcW w:w="3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Servicios Generales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1,589,270,661.00</w:t>
            </w:r>
          </w:p>
        </w:tc>
      </w:tr>
      <w:tr w:rsidR="003A288B" w:rsidRPr="006126AB" w:rsidTr="007A634F">
        <w:trPr>
          <w:trHeight w:val="315"/>
        </w:trPr>
        <w:tc>
          <w:tcPr>
            <w:tcW w:w="3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Transferencias, Asignaciones, Subsidios y Otras Ayudas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17,507,514,049.00</w:t>
            </w:r>
          </w:p>
        </w:tc>
      </w:tr>
      <w:tr w:rsidR="003A288B" w:rsidRPr="006126AB" w:rsidTr="00D3761B">
        <w:trPr>
          <w:trHeight w:val="315"/>
        </w:trPr>
        <w:tc>
          <w:tcPr>
            <w:tcW w:w="3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Bienes Muebles, Inmuebles e Intangibles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95,437,802.00</w:t>
            </w:r>
          </w:p>
        </w:tc>
      </w:tr>
      <w:tr w:rsidR="003A288B" w:rsidRPr="006126AB" w:rsidTr="007A634F">
        <w:trPr>
          <w:trHeight w:val="315"/>
        </w:trPr>
        <w:tc>
          <w:tcPr>
            <w:tcW w:w="3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Inversión Pública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847,794,874.00</w:t>
            </w:r>
          </w:p>
        </w:tc>
      </w:tr>
      <w:tr w:rsidR="003A288B" w:rsidRPr="006126AB" w:rsidTr="00D3761B">
        <w:trPr>
          <w:trHeight w:val="315"/>
        </w:trPr>
        <w:tc>
          <w:tcPr>
            <w:tcW w:w="3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Inversiones Financieras y Otras Provisiones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47,275,001.00</w:t>
            </w:r>
          </w:p>
        </w:tc>
      </w:tr>
      <w:tr w:rsidR="003A288B" w:rsidRPr="006126AB" w:rsidTr="007A634F">
        <w:trPr>
          <w:trHeight w:val="315"/>
        </w:trPr>
        <w:tc>
          <w:tcPr>
            <w:tcW w:w="3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Participaciones y Aportaciones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5,172,019,651.00</w:t>
            </w:r>
          </w:p>
        </w:tc>
      </w:tr>
      <w:tr w:rsidR="003A288B" w:rsidRPr="006126AB" w:rsidTr="00D3761B">
        <w:trPr>
          <w:trHeight w:val="315"/>
        </w:trPr>
        <w:tc>
          <w:tcPr>
            <w:tcW w:w="3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Deuda Pública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88B" w:rsidRPr="006126AB" w:rsidRDefault="003A288B" w:rsidP="006F26E2">
            <w:pPr>
              <w:spacing w:before="60" w:after="6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177,739,567.00</w:t>
            </w:r>
          </w:p>
        </w:tc>
      </w:tr>
    </w:tbl>
    <w:p w:rsidR="00FB6A01" w:rsidRDefault="00FB6A01" w:rsidP="003E33C7">
      <w:pPr>
        <w:rPr>
          <w:sz w:val="20"/>
          <w:szCs w:val="20"/>
        </w:rPr>
      </w:pPr>
    </w:p>
    <w:p w:rsidR="006126AB" w:rsidRDefault="006126AB" w:rsidP="003E33C7">
      <w:pPr>
        <w:rPr>
          <w:sz w:val="20"/>
          <w:szCs w:val="20"/>
        </w:rPr>
      </w:pPr>
    </w:p>
    <w:p w:rsidR="006126AB" w:rsidRDefault="006126AB" w:rsidP="003E33C7">
      <w:pPr>
        <w:rPr>
          <w:sz w:val="20"/>
          <w:szCs w:val="20"/>
        </w:rPr>
      </w:pPr>
      <w:r>
        <w:rPr>
          <w:noProof/>
          <w:lang w:eastAsia="es-MX"/>
        </w:rPr>
        <w:lastRenderedPageBreak/>
        <w:drawing>
          <wp:inline distT="0" distB="0" distL="0" distR="0" wp14:anchorId="639D528A" wp14:editId="25746681">
            <wp:extent cx="904875" cy="981075"/>
            <wp:effectExtent l="0" t="0" r="0" b="0"/>
            <wp:docPr id="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126AB" w:rsidRDefault="006126AB" w:rsidP="003E33C7">
      <w:pPr>
        <w:rPr>
          <w:sz w:val="20"/>
          <w:szCs w:val="20"/>
        </w:rPr>
      </w:pPr>
    </w:p>
    <w:p w:rsidR="004941C1" w:rsidRPr="006126AB" w:rsidRDefault="00F71773" w:rsidP="003E33C7">
      <w:pPr>
        <w:rPr>
          <w:sz w:val="20"/>
          <w:szCs w:val="20"/>
          <w:highlight w:val="green"/>
        </w:rPr>
      </w:pPr>
      <w:r w:rsidRPr="006126AB">
        <w:rPr>
          <w:noProof/>
          <w:sz w:val="20"/>
          <w:szCs w:val="20"/>
          <w:lang w:eastAsia="es-MX"/>
        </w:rPr>
        <w:drawing>
          <wp:inline distT="0" distB="0" distL="0" distR="0" wp14:anchorId="1E01B50A" wp14:editId="428AF469">
            <wp:extent cx="5610279" cy="5121612"/>
            <wp:effectExtent l="19050" t="0" r="28521" b="2838"/>
            <wp:docPr id="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62E8" w:rsidRPr="006126AB" w:rsidRDefault="002062E8" w:rsidP="003E33C7">
      <w:pPr>
        <w:rPr>
          <w:b/>
          <w:sz w:val="20"/>
          <w:szCs w:val="20"/>
        </w:rPr>
      </w:pPr>
    </w:p>
    <w:p w:rsidR="006126AB" w:rsidRDefault="006126AB" w:rsidP="003E33C7">
      <w:pPr>
        <w:rPr>
          <w:b/>
          <w:sz w:val="20"/>
          <w:szCs w:val="20"/>
        </w:rPr>
      </w:pPr>
    </w:p>
    <w:p w:rsidR="006126AB" w:rsidRDefault="006126AB" w:rsidP="003E33C7">
      <w:pPr>
        <w:rPr>
          <w:b/>
          <w:sz w:val="20"/>
          <w:szCs w:val="20"/>
        </w:rPr>
      </w:pPr>
    </w:p>
    <w:p w:rsidR="006126AB" w:rsidRDefault="006126AB" w:rsidP="003E33C7">
      <w:pPr>
        <w:rPr>
          <w:b/>
          <w:sz w:val="20"/>
          <w:szCs w:val="20"/>
        </w:rPr>
      </w:pPr>
      <w:r>
        <w:rPr>
          <w:noProof/>
          <w:lang w:eastAsia="es-MX"/>
        </w:rPr>
        <w:lastRenderedPageBreak/>
        <w:drawing>
          <wp:inline distT="0" distB="0" distL="0" distR="0" wp14:anchorId="5236BAC7" wp14:editId="18A85417">
            <wp:extent cx="904875" cy="981075"/>
            <wp:effectExtent l="0" t="0" r="0" b="0"/>
            <wp:docPr id="1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126AB" w:rsidRDefault="006126AB" w:rsidP="003E33C7">
      <w:pPr>
        <w:rPr>
          <w:b/>
          <w:sz w:val="20"/>
          <w:szCs w:val="20"/>
        </w:rPr>
      </w:pPr>
    </w:p>
    <w:p w:rsidR="00F977CC" w:rsidRPr="006126AB" w:rsidRDefault="00F977CC" w:rsidP="003E33C7">
      <w:pPr>
        <w:rPr>
          <w:b/>
          <w:sz w:val="20"/>
          <w:szCs w:val="20"/>
        </w:rPr>
      </w:pPr>
      <w:r w:rsidRPr="006126AB">
        <w:rPr>
          <w:b/>
          <w:sz w:val="20"/>
          <w:szCs w:val="20"/>
        </w:rPr>
        <w:t>V.-</w:t>
      </w:r>
      <w:r w:rsidRPr="006126AB">
        <w:rPr>
          <w:b/>
          <w:sz w:val="20"/>
          <w:szCs w:val="20"/>
        </w:rPr>
        <w:tab/>
        <w:t>¿Para qué se gasta?</w:t>
      </w:r>
    </w:p>
    <w:p w:rsidR="00567D96" w:rsidRPr="006126AB" w:rsidRDefault="008D3439" w:rsidP="008D3439">
      <w:pPr>
        <w:jc w:val="both"/>
        <w:rPr>
          <w:sz w:val="20"/>
          <w:szCs w:val="20"/>
        </w:rPr>
      </w:pPr>
      <w:r w:rsidRPr="006126AB">
        <w:rPr>
          <w:sz w:val="20"/>
          <w:szCs w:val="20"/>
        </w:rPr>
        <w:t xml:space="preserve">La Administración Pública </w:t>
      </w:r>
      <w:r w:rsidR="00540A46" w:rsidRPr="006126AB">
        <w:rPr>
          <w:sz w:val="20"/>
          <w:szCs w:val="20"/>
        </w:rPr>
        <w:t>del Estado</w:t>
      </w:r>
      <w:r w:rsidR="00DA64DD" w:rsidRPr="006126AB">
        <w:rPr>
          <w:sz w:val="20"/>
          <w:szCs w:val="20"/>
        </w:rPr>
        <w:t xml:space="preserve"> ejerce </w:t>
      </w:r>
      <w:r w:rsidR="00540A46" w:rsidRPr="006126AB">
        <w:rPr>
          <w:sz w:val="20"/>
          <w:szCs w:val="20"/>
        </w:rPr>
        <w:t xml:space="preserve">los </w:t>
      </w:r>
      <w:r w:rsidRPr="006126AB">
        <w:rPr>
          <w:sz w:val="20"/>
          <w:szCs w:val="20"/>
        </w:rPr>
        <w:t xml:space="preserve">recursos </w:t>
      </w:r>
      <w:r w:rsidR="00540A46" w:rsidRPr="006126AB">
        <w:rPr>
          <w:sz w:val="20"/>
          <w:szCs w:val="20"/>
        </w:rPr>
        <w:t>públicos con el fin de mejorar la calidad de vida y los ingresos de los individuos y las familias</w:t>
      </w:r>
      <w:r w:rsidR="005C70ED" w:rsidRPr="006126AB">
        <w:rPr>
          <w:sz w:val="20"/>
          <w:szCs w:val="20"/>
        </w:rPr>
        <w:t>,</w:t>
      </w:r>
      <w:r w:rsidR="00540A46" w:rsidRPr="006126AB">
        <w:rPr>
          <w:sz w:val="20"/>
          <w:szCs w:val="20"/>
        </w:rPr>
        <w:t xml:space="preserve"> conforme los objetivos y estrategias del P</w:t>
      </w:r>
      <w:r w:rsidR="00567D96" w:rsidRPr="006126AB">
        <w:rPr>
          <w:sz w:val="20"/>
          <w:szCs w:val="20"/>
        </w:rPr>
        <w:t>lan Estatal de Desarrollo, la técnica d</w:t>
      </w:r>
      <w:r w:rsidR="00540A46" w:rsidRPr="006126AB">
        <w:rPr>
          <w:sz w:val="20"/>
          <w:szCs w:val="20"/>
        </w:rPr>
        <w:t>el Presupuesto basado en Resultados</w:t>
      </w:r>
      <w:r w:rsidR="00567D96" w:rsidRPr="006126AB">
        <w:rPr>
          <w:sz w:val="20"/>
          <w:szCs w:val="20"/>
        </w:rPr>
        <w:t>, los programas presupuestarios y los programas de entrega de bienes y servicios.</w:t>
      </w:r>
    </w:p>
    <w:p w:rsidR="00A47144" w:rsidRPr="006126AB" w:rsidRDefault="00A47144" w:rsidP="00A47144">
      <w:pPr>
        <w:jc w:val="both"/>
        <w:rPr>
          <w:sz w:val="20"/>
          <w:szCs w:val="20"/>
        </w:rPr>
      </w:pPr>
      <w:r w:rsidRPr="006126AB">
        <w:rPr>
          <w:sz w:val="20"/>
          <w:szCs w:val="20"/>
        </w:rPr>
        <w:t>Las prioridades del gas</w:t>
      </w:r>
      <w:r w:rsidR="005C70ED" w:rsidRPr="006126AB">
        <w:rPr>
          <w:sz w:val="20"/>
          <w:szCs w:val="20"/>
        </w:rPr>
        <w:t>to para el ejercicio fiscal 2015</w:t>
      </w:r>
      <w:r w:rsidRPr="006126AB">
        <w:rPr>
          <w:sz w:val="20"/>
          <w:szCs w:val="20"/>
        </w:rPr>
        <w:t xml:space="preserve"> están </w:t>
      </w:r>
      <w:r w:rsidR="00567D96" w:rsidRPr="006126AB">
        <w:rPr>
          <w:sz w:val="20"/>
          <w:szCs w:val="20"/>
        </w:rPr>
        <w:t xml:space="preserve">orientadas por los objetivos </w:t>
      </w:r>
      <w:r w:rsidR="00F07C61" w:rsidRPr="006126AB">
        <w:rPr>
          <w:sz w:val="20"/>
          <w:szCs w:val="20"/>
        </w:rPr>
        <w:t>de los</w:t>
      </w:r>
      <w:r w:rsidRPr="006126AB">
        <w:rPr>
          <w:sz w:val="20"/>
          <w:szCs w:val="20"/>
        </w:rPr>
        <w:t xml:space="preserve"> cinco ejes de Desarrollo del </w:t>
      </w:r>
      <w:r w:rsidR="00567D96" w:rsidRPr="006126AB">
        <w:rPr>
          <w:sz w:val="20"/>
          <w:szCs w:val="20"/>
        </w:rPr>
        <w:t>Plan Estatal de Desarrollo</w:t>
      </w:r>
      <w:r w:rsidRPr="006126AB">
        <w:rPr>
          <w:sz w:val="20"/>
          <w:szCs w:val="20"/>
        </w:rPr>
        <w:t xml:space="preserve">: Yucatán Competitivo, Yucatán Incluyente, Yucatán con Educación de Calidad, Yucatán con Crecimiento Ordenado y Yucatán Seguro. </w:t>
      </w:r>
    </w:p>
    <w:p w:rsidR="007342D7" w:rsidRPr="006126AB" w:rsidRDefault="007342D7" w:rsidP="00A47144">
      <w:pPr>
        <w:jc w:val="both"/>
        <w:rPr>
          <w:sz w:val="20"/>
          <w:szCs w:val="20"/>
        </w:rPr>
      </w:pPr>
      <w:r w:rsidRPr="006126AB">
        <w:rPr>
          <w:noProof/>
          <w:sz w:val="20"/>
          <w:szCs w:val="20"/>
          <w:lang w:eastAsia="es-MX"/>
        </w:rPr>
        <w:drawing>
          <wp:inline distT="0" distB="0" distL="0" distR="0" wp14:anchorId="67CF2753" wp14:editId="11248A6D">
            <wp:extent cx="5610225" cy="3257550"/>
            <wp:effectExtent l="19050" t="0" r="9525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7144" w:rsidRPr="006126AB" w:rsidRDefault="00A47144" w:rsidP="00A47144">
      <w:pPr>
        <w:jc w:val="both"/>
        <w:rPr>
          <w:sz w:val="20"/>
          <w:szCs w:val="20"/>
        </w:rPr>
      </w:pPr>
      <w:r w:rsidRPr="006126AB">
        <w:rPr>
          <w:sz w:val="20"/>
          <w:szCs w:val="20"/>
        </w:rPr>
        <w:t>La política de gasto del Gob</w:t>
      </w:r>
      <w:r w:rsidR="00567D96" w:rsidRPr="006126AB">
        <w:rPr>
          <w:sz w:val="20"/>
          <w:szCs w:val="20"/>
        </w:rPr>
        <w:t xml:space="preserve">ierno del Estado de Yucatán está igualmente orientada </w:t>
      </w:r>
      <w:r w:rsidRPr="006126AB">
        <w:rPr>
          <w:sz w:val="20"/>
          <w:szCs w:val="20"/>
        </w:rPr>
        <w:t xml:space="preserve">hacia el cumplimiento de los compromisos con Yucatán </w:t>
      </w:r>
      <w:r w:rsidR="00567D96" w:rsidRPr="006126AB">
        <w:rPr>
          <w:sz w:val="20"/>
          <w:szCs w:val="20"/>
        </w:rPr>
        <w:t>asumidos por el Gobernador del Estado</w:t>
      </w:r>
      <w:r w:rsidRPr="006126AB">
        <w:rPr>
          <w:sz w:val="20"/>
          <w:szCs w:val="20"/>
        </w:rPr>
        <w:t>.</w:t>
      </w:r>
    </w:p>
    <w:p w:rsidR="006126AB" w:rsidRDefault="00DC590C" w:rsidP="006126AB">
      <w:pPr>
        <w:jc w:val="both"/>
        <w:rPr>
          <w:sz w:val="20"/>
          <w:szCs w:val="20"/>
        </w:rPr>
      </w:pPr>
      <w:r w:rsidRPr="006126AB">
        <w:rPr>
          <w:sz w:val="20"/>
          <w:szCs w:val="20"/>
        </w:rPr>
        <w:t>E</w:t>
      </w:r>
      <w:r w:rsidR="005C70ED" w:rsidRPr="006126AB">
        <w:rPr>
          <w:sz w:val="20"/>
          <w:szCs w:val="20"/>
        </w:rPr>
        <w:t xml:space="preserve">n 2015 </w:t>
      </w:r>
      <w:r w:rsidR="00421B79" w:rsidRPr="006126AB">
        <w:rPr>
          <w:sz w:val="20"/>
          <w:szCs w:val="20"/>
        </w:rPr>
        <w:t>se destinarán 4.88</w:t>
      </w:r>
      <w:r w:rsidR="00A47144" w:rsidRPr="006126AB">
        <w:rPr>
          <w:sz w:val="20"/>
          <w:szCs w:val="20"/>
        </w:rPr>
        <w:t xml:space="preserve"> </w:t>
      </w:r>
      <w:r w:rsidR="00421B79" w:rsidRPr="006126AB">
        <w:rPr>
          <w:sz w:val="20"/>
          <w:szCs w:val="20"/>
        </w:rPr>
        <w:t xml:space="preserve">miles de </w:t>
      </w:r>
      <w:r w:rsidR="00A47144" w:rsidRPr="006126AB">
        <w:rPr>
          <w:sz w:val="20"/>
          <w:szCs w:val="20"/>
        </w:rPr>
        <w:t xml:space="preserve">millones de pesos a las actividades programáticas e institucionales que se asocian directamente con el cumplimiento de </w:t>
      </w:r>
      <w:r w:rsidR="007342D7" w:rsidRPr="006126AB">
        <w:rPr>
          <w:sz w:val="20"/>
          <w:szCs w:val="20"/>
        </w:rPr>
        <w:t>125</w:t>
      </w:r>
      <w:r w:rsidRPr="006126AB">
        <w:rPr>
          <w:sz w:val="20"/>
          <w:szCs w:val="20"/>
        </w:rPr>
        <w:t xml:space="preserve"> </w:t>
      </w:r>
      <w:r w:rsidR="00A47144" w:rsidRPr="006126AB">
        <w:rPr>
          <w:sz w:val="20"/>
          <w:szCs w:val="20"/>
        </w:rPr>
        <w:t>compromisos</w:t>
      </w:r>
      <w:r w:rsidRPr="006126AB">
        <w:rPr>
          <w:rFonts w:cs="Arial"/>
          <w:sz w:val="20"/>
          <w:szCs w:val="20"/>
        </w:rPr>
        <w:t xml:space="preserve"> asumidos por el Gobernador del Estado</w:t>
      </w:r>
      <w:r w:rsidR="00335681" w:rsidRPr="006126AB">
        <w:rPr>
          <w:sz w:val="20"/>
          <w:szCs w:val="20"/>
        </w:rPr>
        <w:t>.</w:t>
      </w:r>
    </w:p>
    <w:p w:rsidR="006126AB" w:rsidRDefault="006126AB" w:rsidP="006126AB">
      <w:pPr>
        <w:jc w:val="both"/>
        <w:rPr>
          <w:rFonts w:cs="Arial"/>
          <w:sz w:val="20"/>
          <w:szCs w:val="20"/>
        </w:rPr>
      </w:pPr>
      <w:r>
        <w:rPr>
          <w:noProof/>
          <w:lang w:eastAsia="es-MX"/>
        </w:rPr>
        <w:lastRenderedPageBreak/>
        <w:drawing>
          <wp:inline distT="0" distB="0" distL="0" distR="0" wp14:anchorId="09291415" wp14:editId="07F42BA5">
            <wp:extent cx="904875" cy="981075"/>
            <wp:effectExtent l="0" t="0" r="0" b="0"/>
            <wp:docPr id="1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31589" w:rsidRPr="006126AB" w:rsidRDefault="00731589" w:rsidP="006F26E2">
      <w:pPr>
        <w:pStyle w:val="Epgrafe"/>
        <w:keepNext/>
        <w:spacing w:before="60" w:after="60"/>
        <w:rPr>
          <w:rFonts w:asciiTheme="minorHAnsi" w:hAnsiTheme="minorHAnsi" w:cs="Arial"/>
          <w:sz w:val="20"/>
          <w:szCs w:val="20"/>
        </w:rPr>
      </w:pPr>
      <w:r w:rsidRPr="006126AB">
        <w:rPr>
          <w:rFonts w:asciiTheme="minorHAnsi" w:hAnsiTheme="minorHAnsi" w:cs="Arial"/>
          <w:sz w:val="20"/>
          <w:szCs w:val="20"/>
        </w:rPr>
        <w:t>Presupuesto 2015 asignado a compromisos</w:t>
      </w:r>
    </w:p>
    <w:tbl>
      <w:tblPr>
        <w:tblStyle w:val="Cuadrculaclara1"/>
        <w:tblW w:w="8725" w:type="dxa"/>
        <w:jc w:val="center"/>
        <w:tblLook w:val="04A0" w:firstRow="1" w:lastRow="0" w:firstColumn="1" w:lastColumn="0" w:noHBand="0" w:noVBand="1"/>
      </w:tblPr>
      <w:tblGrid>
        <w:gridCol w:w="5233"/>
        <w:gridCol w:w="3492"/>
      </w:tblGrid>
      <w:tr w:rsidR="00731589" w:rsidRPr="006126AB" w:rsidTr="00DC4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shd w:val="clear" w:color="auto" w:fill="BFBFBF" w:themeFill="background1" w:themeFillShade="BF"/>
            <w:noWrap/>
            <w:vAlign w:val="center"/>
            <w:hideMark/>
          </w:tcPr>
          <w:p w:rsidR="00577113" w:rsidRPr="006126AB" w:rsidRDefault="00731589" w:rsidP="001218F0">
            <w:pPr>
              <w:spacing w:before="60" w:after="6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MX"/>
              </w:rPr>
            </w:pPr>
            <w:r w:rsidRPr="006126AB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MX"/>
              </w:rPr>
              <w:t>Ejes del PED</w:t>
            </w:r>
          </w:p>
        </w:tc>
        <w:tc>
          <w:tcPr>
            <w:tcW w:w="3492" w:type="dxa"/>
            <w:shd w:val="clear" w:color="auto" w:fill="BFBFBF" w:themeFill="background1" w:themeFillShade="BF"/>
            <w:noWrap/>
            <w:vAlign w:val="center"/>
            <w:hideMark/>
          </w:tcPr>
          <w:p w:rsidR="00731589" w:rsidRPr="006126AB" w:rsidRDefault="00731589" w:rsidP="006F26E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MX"/>
              </w:rPr>
            </w:pPr>
            <w:r w:rsidRPr="006126AB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MX"/>
              </w:rPr>
              <w:t>Asignación presupuestal a compromisos</w:t>
            </w:r>
          </w:p>
        </w:tc>
      </w:tr>
      <w:tr w:rsidR="00577113" w:rsidRPr="006126AB" w:rsidTr="0012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shd w:val="clear" w:color="auto" w:fill="FFFFFF" w:themeFill="background1"/>
            <w:noWrap/>
            <w:vAlign w:val="center"/>
            <w:hideMark/>
          </w:tcPr>
          <w:p w:rsidR="00577113" w:rsidRPr="006126AB" w:rsidRDefault="00577113" w:rsidP="00DC4A91">
            <w:pPr>
              <w:spacing w:before="60" w:after="60"/>
              <w:jc w:val="center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6126AB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3492" w:type="dxa"/>
            <w:shd w:val="clear" w:color="auto" w:fill="FFFFFF" w:themeFill="background1"/>
            <w:noWrap/>
            <w:vAlign w:val="center"/>
            <w:hideMark/>
          </w:tcPr>
          <w:p w:rsidR="00577113" w:rsidRPr="006126AB" w:rsidRDefault="00577113" w:rsidP="001218F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$4,881,563,282.00</w:t>
            </w:r>
          </w:p>
        </w:tc>
      </w:tr>
      <w:tr w:rsidR="00731589" w:rsidRPr="006126AB" w:rsidTr="00121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shd w:val="clear" w:color="auto" w:fill="BFBFBF" w:themeFill="background1" w:themeFillShade="BF"/>
            <w:noWrap/>
            <w:vAlign w:val="center"/>
            <w:hideMark/>
          </w:tcPr>
          <w:p w:rsidR="00731589" w:rsidRPr="006126AB" w:rsidRDefault="00731589" w:rsidP="006F26E2">
            <w:pPr>
              <w:spacing w:before="60" w:after="60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6126AB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MX"/>
              </w:rPr>
              <w:t>Yucatán Competitivo</w:t>
            </w:r>
          </w:p>
        </w:tc>
        <w:tc>
          <w:tcPr>
            <w:tcW w:w="3492" w:type="dxa"/>
            <w:shd w:val="clear" w:color="auto" w:fill="BFBFBF" w:themeFill="background1" w:themeFillShade="BF"/>
            <w:noWrap/>
            <w:vAlign w:val="center"/>
            <w:hideMark/>
          </w:tcPr>
          <w:p w:rsidR="00731589" w:rsidRPr="006126AB" w:rsidRDefault="00731589" w:rsidP="001218F0">
            <w:pPr>
              <w:spacing w:before="60" w:after="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$1,723,964,255</w:t>
            </w:r>
          </w:p>
        </w:tc>
      </w:tr>
      <w:tr w:rsidR="00731589" w:rsidRPr="006126AB" w:rsidTr="0012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shd w:val="clear" w:color="auto" w:fill="FFFFFF" w:themeFill="background1"/>
            <w:noWrap/>
            <w:vAlign w:val="center"/>
            <w:hideMark/>
          </w:tcPr>
          <w:p w:rsidR="00731589" w:rsidRPr="006126AB" w:rsidRDefault="00731589" w:rsidP="00DC4A91">
            <w:pPr>
              <w:spacing w:before="60" w:after="60"/>
              <w:jc w:val="center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6126AB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MX"/>
              </w:rPr>
              <w:t>Yucatán Incluyente</w:t>
            </w:r>
          </w:p>
        </w:tc>
        <w:tc>
          <w:tcPr>
            <w:tcW w:w="3492" w:type="dxa"/>
            <w:shd w:val="clear" w:color="auto" w:fill="FFFFFF" w:themeFill="background1"/>
            <w:noWrap/>
            <w:vAlign w:val="center"/>
            <w:hideMark/>
          </w:tcPr>
          <w:p w:rsidR="00731589" w:rsidRPr="006126AB" w:rsidRDefault="00731589" w:rsidP="001218F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$744,509,848 </w:t>
            </w:r>
          </w:p>
        </w:tc>
      </w:tr>
      <w:tr w:rsidR="00731589" w:rsidRPr="006126AB" w:rsidTr="00121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shd w:val="clear" w:color="auto" w:fill="BFBFBF" w:themeFill="background1" w:themeFillShade="BF"/>
            <w:noWrap/>
            <w:vAlign w:val="center"/>
            <w:hideMark/>
          </w:tcPr>
          <w:p w:rsidR="00731589" w:rsidRPr="006126AB" w:rsidRDefault="00731589" w:rsidP="006F26E2">
            <w:pPr>
              <w:spacing w:before="60" w:after="60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6126AB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MX"/>
              </w:rPr>
              <w:t>Yucatán con Educación de Calidad</w:t>
            </w:r>
          </w:p>
        </w:tc>
        <w:tc>
          <w:tcPr>
            <w:tcW w:w="3492" w:type="dxa"/>
            <w:shd w:val="clear" w:color="auto" w:fill="BFBFBF" w:themeFill="background1" w:themeFillShade="BF"/>
            <w:noWrap/>
            <w:vAlign w:val="center"/>
            <w:hideMark/>
          </w:tcPr>
          <w:p w:rsidR="00731589" w:rsidRPr="006126AB" w:rsidRDefault="00731589" w:rsidP="001218F0">
            <w:pPr>
              <w:spacing w:before="60" w:after="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$687,101,088 </w:t>
            </w:r>
          </w:p>
        </w:tc>
      </w:tr>
      <w:tr w:rsidR="00731589" w:rsidRPr="006126AB" w:rsidTr="0012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shd w:val="clear" w:color="auto" w:fill="FFFFFF" w:themeFill="background1"/>
            <w:noWrap/>
            <w:vAlign w:val="center"/>
            <w:hideMark/>
          </w:tcPr>
          <w:p w:rsidR="00731589" w:rsidRPr="006126AB" w:rsidRDefault="00731589" w:rsidP="00DC4A91">
            <w:pPr>
              <w:spacing w:before="60" w:after="60"/>
              <w:jc w:val="center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6126AB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MX"/>
              </w:rPr>
              <w:t>Yucatán con Crecimiento Ordenado</w:t>
            </w:r>
          </w:p>
        </w:tc>
        <w:tc>
          <w:tcPr>
            <w:tcW w:w="3492" w:type="dxa"/>
            <w:shd w:val="clear" w:color="auto" w:fill="FFFFFF" w:themeFill="background1"/>
            <w:noWrap/>
            <w:vAlign w:val="center"/>
            <w:hideMark/>
          </w:tcPr>
          <w:p w:rsidR="00731589" w:rsidRPr="006126AB" w:rsidRDefault="00731589" w:rsidP="001218F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$998,823,861 </w:t>
            </w:r>
          </w:p>
        </w:tc>
      </w:tr>
      <w:tr w:rsidR="00731589" w:rsidRPr="006126AB" w:rsidTr="00121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shd w:val="clear" w:color="auto" w:fill="BFBFBF" w:themeFill="background1" w:themeFillShade="BF"/>
            <w:noWrap/>
            <w:vAlign w:val="center"/>
            <w:hideMark/>
          </w:tcPr>
          <w:p w:rsidR="00731589" w:rsidRPr="006126AB" w:rsidRDefault="00731589" w:rsidP="00DC4A91">
            <w:pPr>
              <w:spacing w:before="60" w:after="60"/>
              <w:jc w:val="center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6126AB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MX"/>
              </w:rPr>
              <w:t>Yucatán Seguro</w:t>
            </w:r>
          </w:p>
        </w:tc>
        <w:tc>
          <w:tcPr>
            <w:tcW w:w="3492" w:type="dxa"/>
            <w:shd w:val="clear" w:color="auto" w:fill="BFBFBF" w:themeFill="background1" w:themeFillShade="BF"/>
            <w:noWrap/>
            <w:vAlign w:val="center"/>
            <w:hideMark/>
          </w:tcPr>
          <w:p w:rsidR="00731589" w:rsidRPr="006126AB" w:rsidRDefault="00731589" w:rsidP="001218F0">
            <w:pPr>
              <w:spacing w:before="60" w:after="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$660,302,338</w:t>
            </w:r>
          </w:p>
        </w:tc>
      </w:tr>
      <w:tr w:rsidR="00731589" w:rsidRPr="006126AB" w:rsidTr="0012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shd w:val="clear" w:color="auto" w:fill="FFFFFF" w:themeFill="background1"/>
            <w:noWrap/>
            <w:vAlign w:val="center"/>
            <w:hideMark/>
          </w:tcPr>
          <w:p w:rsidR="00731589" w:rsidRPr="006126AB" w:rsidRDefault="00731589" w:rsidP="00DC4A91">
            <w:pPr>
              <w:spacing w:before="60" w:after="60"/>
              <w:jc w:val="center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6126AB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MX"/>
              </w:rPr>
              <w:t>Gestión y Administración Pública</w:t>
            </w:r>
          </w:p>
        </w:tc>
        <w:tc>
          <w:tcPr>
            <w:tcW w:w="3492" w:type="dxa"/>
            <w:shd w:val="clear" w:color="auto" w:fill="FFFFFF" w:themeFill="background1"/>
            <w:noWrap/>
            <w:vAlign w:val="center"/>
            <w:hideMark/>
          </w:tcPr>
          <w:p w:rsidR="00731589" w:rsidRPr="006126AB" w:rsidRDefault="00731589" w:rsidP="001218F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6126A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$66,861,892 </w:t>
            </w:r>
          </w:p>
        </w:tc>
      </w:tr>
    </w:tbl>
    <w:p w:rsidR="00731589" w:rsidRPr="006126AB" w:rsidRDefault="00731589" w:rsidP="00731589">
      <w:pPr>
        <w:tabs>
          <w:tab w:val="left" w:pos="142"/>
        </w:tabs>
        <w:spacing w:line="360" w:lineRule="auto"/>
        <w:jc w:val="both"/>
        <w:rPr>
          <w:rFonts w:cs="Arial"/>
          <w:b/>
          <w:sz w:val="20"/>
          <w:szCs w:val="20"/>
          <w:highlight w:val="yellow"/>
        </w:rPr>
      </w:pPr>
    </w:p>
    <w:p w:rsidR="00A47144" w:rsidRPr="006126AB" w:rsidRDefault="00A47144" w:rsidP="00A47144">
      <w:pPr>
        <w:jc w:val="both"/>
        <w:rPr>
          <w:sz w:val="20"/>
          <w:szCs w:val="20"/>
        </w:rPr>
      </w:pPr>
      <w:r w:rsidRPr="006126AB">
        <w:rPr>
          <w:sz w:val="20"/>
          <w:szCs w:val="20"/>
        </w:rPr>
        <w:t>Cabe señalar que en el 201</w:t>
      </w:r>
      <w:r w:rsidR="005C70ED" w:rsidRPr="006126AB">
        <w:rPr>
          <w:sz w:val="20"/>
          <w:szCs w:val="20"/>
        </w:rPr>
        <w:t>5</w:t>
      </w:r>
      <w:r w:rsidRPr="006126AB">
        <w:rPr>
          <w:sz w:val="20"/>
          <w:szCs w:val="20"/>
        </w:rPr>
        <w:t xml:space="preserve"> se verán cumplidos varios compromisos que se iniciaron en 201</w:t>
      </w:r>
      <w:r w:rsidR="005C70ED" w:rsidRPr="006126AB">
        <w:rPr>
          <w:sz w:val="20"/>
          <w:szCs w:val="20"/>
        </w:rPr>
        <w:t>4</w:t>
      </w:r>
      <w:r w:rsidRPr="006126AB">
        <w:rPr>
          <w:sz w:val="20"/>
          <w:szCs w:val="20"/>
        </w:rPr>
        <w:t>, se comenzará a atender otros y se continuarán con las acciones para el cumplimiento de otros más.</w:t>
      </w:r>
    </w:p>
    <w:p w:rsidR="00FB6A01" w:rsidRPr="006126AB" w:rsidRDefault="00FB6A01" w:rsidP="008D3439">
      <w:pPr>
        <w:jc w:val="both"/>
        <w:rPr>
          <w:sz w:val="20"/>
          <w:szCs w:val="20"/>
        </w:rPr>
      </w:pPr>
      <w:r w:rsidRPr="006126AB">
        <w:rPr>
          <w:sz w:val="20"/>
          <w:szCs w:val="20"/>
        </w:rPr>
        <w:t>En</w:t>
      </w:r>
      <w:r w:rsidR="00567D96" w:rsidRPr="006126AB">
        <w:rPr>
          <w:sz w:val="20"/>
          <w:szCs w:val="20"/>
        </w:rPr>
        <w:t xml:space="preserve"> el P</w:t>
      </w:r>
      <w:r w:rsidRPr="006126AB">
        <w:rPr>
          <w:sz w:val="20"/>
          <w:szCs w:val="20"/>
        </w:rPr>
        <w:t xml:space="preserve">resupuesto </w:t>
      </w:r>
      <w:r w:rsidR="00567D96" w:rsidRPr="006126AB">
        <w:rPr>
          <w:sz w:val="20"/>
          <w:szCs w:val="20"/>
        </w:rPr>
        <w:t>de Egresos</w:t>
      </w:r>
      <w:r w:rsidRPr="006126AB">
        <w:rPr>
          <w:sz w:val="20"/>
          <w:szCs w:val="20"/>
        </w:rPr>
        <w:t xml:space="preserve"> se  han integrado indicadores que permitan medir la gestión de los recursos y los resultados alcanzados con ellos, </w:t>
      </w:r>
      <w:r w:rsidR="00540A46" w:rsidRPr="006126AB">
        <w:rPr>
          <w:sz w:val="20"/>
          <w:szCs w:val="20"/>
        </w:rPr>
        <w:t>con el</w:t>
      </w:r>
      <w:r w:rsidRPr="006126AB">
        <w:rPr>
          <w:sz w:val="20"/>
          <w:szCs w:val="20"/>
        </w:rPr>
        <w:t xml:space="preserve"> fin de poder tomar decisiones que permitan mejorar los programas y políticas públicas para in</w:t>
      </w:r>
      <w:r w:rsidR="005B0D6F" w:rsidRPr="006126AB">
        <w:rPr>
          <w:sz w:val="20"/>
          <w:szCs w:val="20"/>
        </w:rPr>
        <w:t xml:space="preserve">crementar el beneficio social. </w:t>
      </w:r>
    </w:p>
    <w:p w:rsidR="00F977CC" w:rsidRPr="006126AB" w:rsidRDefault="00F977CC" w:rsidP="003E33C7">
      <w:pPr>
        <w:rPr>
          <w:b/>
          <w:sz w:val="20"/>
          <w:szCs w:val="20"/>
        </w:rPr>
      </w:pPr>
      <w:r w:rsidRPr="006126AB">
        <w:rPr>
          <w:b/>
          <w:sz w:val="20"/>
          <w:szCs w:val="20"/>
        </w:rPr>
        <w:t>I.-</w:t>
      </w:r>
      <w:r w:rsidRPr="006126AB">
        <w:rPr>
          <w:b/>
          <w:sz w:val="20"/>
          <w:szCs w:val="20"/>
        </w:rPr>
        <w:tab/>
        <w:t>¿Qué pueden hacer los ciudadanos?</w:t>
      </w:r>
    </w:p>
    <w:p w:rsidR="00A2076A" w:rsidRPr="006126AB" w:rsidRDefault="00A2076A" w:rsidP="00A2076A">
      <w:pPr>
        <w:jc w:val="both"/>
        <w:rPr>
          <w:sz w:val="20"/>
          <w:szCs w:val="20"/>
        </w:rPr>
      </w:pPr>
      <w:r w:rsidRPr="006126AB">
        <w:rPr>
          <w:sz w:val="20"/>
          <w:szCs w:val="20"/>
        </w:rPr>
        <w:t xml:space="preserve">Informarse en cuanto al contenido de la Ley de Ingresos y del Presupuesto de Egresos y vigilar si el gobierno está cumpliendo con sus obligaciones, en relación con el dinero </w:t>
      </w:r>
      <w:r w:rsidR="00F07C61" w:rsidRPr="006126AB">
        <w:rPr>
          <w:sz w:val="20"/>
          <w:szCs w:val="20"/>
        </w:rPr>
        <w:t>distribuido en</w:t>
      </w:r>
      <w:r w:rsidRPr="006126AB">
        <w:rPr>
          <w:sz w:val="20"/>
          <w:szCs w:val="20"/>
        </w:rPr>
        <w:t xml:space="preserve"> los diferentes programas y proyectos.</w:t>
      </w:r>
    </w:p>
    <w:p w:rsidR="00F977CC" w:rsidRPr="006126AB" w:rsidRDefault="00344CB2" w:rsidP="00344CB2">
      <w:pPr>
        <w:jc w:val="both"/>
        <w:rPr>
          <w:sz w:val="20"/>
          <w:szCs w:val="20"/>
        </w:rPr>
      </w:pPr>
      <w:r w:rsidRPr="006126AB">
        <w:rPr>
          <w:sz w:val="20"/>
          <w:szCs w:val="20"/>
        </w:rPr>
        <w:t xml:space="preserve">La página web del Gobierno del Estado proporciona información de interés para que las personas puedan encontrar cómo hacer uso de los programas públicos que entregan bienes y servicios. En el Catálogo de Programas de entrega de bienes y servicios públicos se informa quiénes pueden hacer uso de ellos, las reglas de operación con los requisitos para hacer uso de ellos, las oficinas y personas a quien dirigirse para solicitar participar, según el caso. También puede encontrarse allí </w:t>
      </w:r>
      <w:r w:rsidR="00F07C61" w:rsidRPr="006126AB">
        <w:rPr>
          <w:sz w:val="20"/>
          <w:szCs w:val="20"/>
        </w:rPr>
        <w:t>el Padrón</w:t>
      </w:r>
      <w:r w:rsidRPr="006126AB">
        <w:rPr>
          <w:sz w:val="20"/>
          <w:szCs w:val="20"/>
        </w:rPr>
        <w:t xml:space="preserve"> de Trámites y Servicios. También las páginas web de las dependencias de la Administración Pública del Estado ofrecen información sobre sus programas y cómo hacer uso de ellos.</w:t>
      </w:r>
    </w:p>
    <w:p w:rsidR="00344CB2" w:rsidRPr="006126AB" w:rsidRDefault="0080494E" w:rsidP="002062E8">
      <w:pPr>
        <w:jc w:val="both"/>
        <w:rPr>
          <w:sz w:val="20"/>
          <w:szCs w:val="20"/>
        </w:rPr>
      </w:pPr>
      <w:r w:rsidRPr="006126AB">
        <w:rPr>
          <w:sz w:val="20"/>
          <w:szCs w:val="20"/>
        </w:rPr>
        <w:t>Es conveniente señalar que dichas dependencias y entidades tienen áreas de atención al público en sus oficinas con el fin de atender directamente a las personas que acudan a ellas en busca de información.</w:t>
      </w:r>
    </w:p>
    <w:p w:rsidR="00F977CC" w:rsidRPr="006126AB" w:rsidRDefault="00C32BE6" w:rsidP="002062E8">
      <w:pPr>
        <w:jc w:val="both"/>
        <w:rPr>
          <w:sz w:val="20"/>
          <w:szCs w:val="20"/>
        </w:rPr>
      </w:pPr>
      <w:r w:rsidRPr="006126AB">
        <w:rPr>
          <w:sz w:val="20"/>
          <w:szCs w:val="20"/>
        </w:rPr>
        <w:t>*</w:t>
      </w:r>
      <w:r w:rsidR="00F75C05" w:rsidRPr="006126AB">
        <w:rPr>
          <w:sz w:val="20"/>
          <w:szCs w:val="20"/>
        </w:rPr>
        <w:t>La información vertida en esta página da cumplimiento a lo establecido en el artículo 62 de la Ley General de Contabilidad Gubernamental.</w:t>
      </w:r>
      <w:r w:rsidR="00A87756" w:rsidRPr="006126AB">
        <w:rPr>
          <w:sz w:val="20"/>
          <w:szCs w:val="20"/>
        </w:rPr>
        <w:t xml:space="preserve"> </w:t>
      </w:r>
    </w:p>
    <w:p w:rsidR="00C832D2" w:rsidRPr="006126AB" w:rsidRDefault="00A87756" w:rsidP="00180093">
      <w:pPr>
        <w:jc w:val="both"/>
        <w:rPr>
          <w:sz w:val="20"/>
          <w:szCs w:val="20"/>
        </w:rPr>
      </w:pPr>
      <w:r w:rsidRPr="006126AB">
        <w:rPr>
          <w:sz w:val="20"/>
          <w:szCs w:val="20"/>
        </w:rPr>
        <w:t xml:space="preserve">Para obtener información detallada puede consultar en </w:t>
      </w:r>
      <w:hyperlink r:id="rId13" w:history="1">
        <w:r w:rsidR="005275CF" w:rsidRPr="006126AB">
          <w:rPr>
            <w:rStyle w:val="Hipervnculo"/>
            <w:sz w:val="20"/>
            <w:szCs w:val="20"/>
          </w:rPr>
          <w:t>www.sitio</w:t>
        </w:r>
      </w:hyperlink>
      <w:r w:rsidR="00307764" w:rsidRPr="006126AB">
        <w:rPr>
          <w:sz w:val="20"/>
          <w:szCs w:val="20"/>
        </w:rPr>
        <w:t xml:space="preserve"> donde está la información.</w:t>
      </w:r>
    </w:p>
    <w:sectPr w:rsidR="00C832D2" w:rsidRPr="006126AB" w:rsidSect="006126AB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2" w:rsidRDefault="00951E12" w:rsidP="00F71773">
      <w:pPr>
        <w:spacing w:after="0" w:line="240" w:lineRule="auto"/>
      </w:pPr>
      <w:r>
        <w:separator/>
      </w:r>
    </w:p>
  </w:endnote>
  <w:endnote w:type="continuationSeparator" w:id="0">
    <w:p w:rsidR="00951E12" w:rsidRDefault="00951E12" w:rsidP="00F7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2" w:rsidRDefault="00951E12" w:rsidP="00F71773">
      <w:pPr>
        <w:spacing w:after="0" w:line="240" w:lineRule="auto"/>
      </w:pPr>
      <w:r>
        <w:separator/>
      </w:r>
    </w:p>
  </w:footnote>
  <w:footnote w:type="continuationSeparator" w:id="0">
    <w:p w:rsidR="00951E12" w:rsidRDefault="00951E12" w:rsidP="00F71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5B8"/>
    <w:rsid w:val="000046B5"/>
    <w:rsid w:val="00007C48"/>
    <w:rsid w:val="00010D31"/>
    <w:rsid w:val="000258A2"/>
    <w:rsid w:val="000275EF"/>
    <w:rsid w:val="00066214"/>
    <w:rsid w:val="00080F79"/>
    <w:rsid w:val="00082C52"/>
    <w:rsid w:val="000C56C1"/>
    <w:rsid w:val="000E0670"/>
    <w:rsid w:val="000F394C"/>
    <w:rsid w:val="000F4F0A"/>
    <w:rsid w:val="000F7830"/>
    <w:rsid w:val="00103937"/>
    <w:rsid w:val="001218F0"/>
    <w:rsid w:val="001234B3"/>
    <w:rsid w:val="00152702"/>
    <w:rsid w:val="001721A8"/>
    <w:rsid w:val="0017769D"/>
    <w:rsid w:val="00180093"/>
    <w:rsid w:val="001C1ACE"/>
    <w:rsid w:val="00202D17"/>
    <w:rsid w:val="002062E8"/>
    <w:rsid w:val="0022209F"/>
    <w:rsid w:val="00244902"/>
    <w:rsid w:val="00251734"/>
    <w:rsid w:val="00265CA4"/>
    <w:rsid w:val="00277410"/>
    <w:rsid w:val="002A76E0"/>
    <w:rsid w:val="002B098D"/>
    <w:rsid w:val="002C4CBF"/>
    <w:rsid w:val="002D5088"/>
    <w:rsid w:val="002E48EC"/>
    <w:rsid w:val="00307764"/>
    <w:rsid w:val="00335681"/>
    <w:rsid w:val="003443B1"/>
    <w:rsid w:val="00344CB2"/>
    <w:rsid w:val="003A288B"/>
    <w:rsid w:val="003C6595"/>
    <w:rsid w:val="003E33C7"/>
    <w:rsid w:val="003E7640"/>
    <w:rsid w:val="00414CA3"/>
    <w:rsid w:val="00421B79"/>
    <w:rsid w:val="00427CE4"/>
    <w:rsid w:val="00450222"/>
    <w:rsid w:val="004941C1"/>
    <w:rsid w:val="00494CF0"/>
    <w:rsid w:val="004B45B9"/>
    <w:rsid w:val="004C112A"/>
    <w:rsid w:val="004D4160"/>
    <w:rsid w:val="004E629E"/>
    <w:rsid w:val="005275CF"/>
    <w:rsid w:val="0054095C"/>
    <w:rsid w:val="00540A46"/>
    <w:rsid w:val="00554823"/>
    <w:rsid w:val="00567D96"/>
    <w:rsid w:val="00571B12"/>
    <w:rsid w:val="00577113"/>
    <w:rsid w:val="00593F3E"/>
    <w:rsid w:val="005B0D6F"/>
    <w:rsid w:val="005C4D22"/>
    <w:rsid w:val="005C70ED"/>
    <w:rsid w:val="005C715C"/>
    <w:rsid w:val="005F26F7"/>
    <w:rsid w:val="006126AB"/>
    <w:rsid w:val="00616ED4"/>
    <w:rsid w:val="006355E9"/>
    <w:rsid w:val="00640A8E"/>
    <w:rsid w:val="00655947"/>
    <w:rsid w:val="00691E23"/>
    <w:rsid w:val="0069356E"/>
    <w:rsid w:val="006E0173"/>
    <w:rsid w:val="006F26E2"/>
    <w:rsid w:val="006F32F7"/>
    <w:rsid w:val="00713BFA"/>
    <w:rsid w:val="00713E72"/>
    <w:rsid w:val="00731589"/>
    <w:rsid w:val="007342D7"/>
    <w:rsid w:val="00753EE1"/>
    <w:rsid w:val="00763641"/>
    <w:rsid w:val="007666A2"/>
    <w:rsid w:val="0077628B"/>
    <w:rsid w:val="00793480"/>
    <w:rsid w:val="00795D2D"/>
    <w:rsid w:val="007A5A23"/>
    <w:rsid w:val="007A634F"/>
    <w:rsid w:val="007B7CD2"/>
    <w:rsid w:val="0080494E"/>
    <w:rsid w:val="00821536"/>
    <w:rsid w:val="0084070E"/>
    <w:rsid w:val="008661C0"/>
    <w:rsid w:val="008677C6"/>
    <w:rsid w:val="008765E4"/>
    <w:rsid w:val="008D042E"/>
    <w:rsid w:val="008D3439"/>
    <w:rsid w:val="008F52FC"/>
    <w:rsid w:val="00912169"/>
    <w:rsid w:val="00933B38"/>
    <w:rsid w:val="00936E6B"/>
    <w:rsid w:val="00951E12"/>
    <w:rsid w:val="0095510D"/>
    <w:rsid w:val="009712B1"/>
    <w:rsid w:val="00973B54"/>
    <w:rsid w:val="009A2EA8"/>
    <w:rsid w:val="009A3083"/>
    <w:rsid w:val="009C2B59"/>
    <w:rsid w:val="009D72B8"/>
    <w:rsid w:val="009E2847"/>
    <w:rsid w:val="00A2076A"/>
    <w:rsid w:val="00A47144"/>
    <w:rsid w:val="00A643FF"/>
    <w:rsid w:val="00A87756"/>
    <w:rsid w:val="00AA7CA7"/>
    <w:rsid w:val="00AF62DF"/>
    <w:rsid w:val="00B16AAD"/>
    <w:rsid w:val="00B36203"/>
    <w:rsid w:val="00B63FF1"/>
    <w:rsid w:val="00B73138"/>
    <w:rsid w:val="00BE05B8"/>
    <w:rsid w:val="00BF1F2F"/>
    <w:rsid w:val="00C20DEF"/>
    <w:rsid w:val="00C223D4"/>
    <w:rsid w:val="00C22592"/>
    <w:rsid w:val="00C32BE6"/>
    <w:rsid w:val="00C51694"/>
    <w:rsid w:val="00C65922"/>
    <w:rsid w:val="00C742B7"/>
    <w:rsid w:val="00C77770"/>
    <w:rsid w:val="00C832D2"/>
    <w:rsid w:val="00C86D2F"/>
    <w:rsid w:val="00C97DFA"/>
    <w:rsid w:val="00CA0E28"/>
    <w:rsid w:val="00CF2A52"/>
    <w:rsid w:val="00D15CC4"/>
    <w:rsid w:val="00D230C5"/>
    <w:rsid w:val="00D2380D"/>
    <w:rsid w:val="00D3761B"/>
    <w:rsid w:val="00DA64DD"/>
    <w:rsid w:val="00DB0764"/>
    <w:rsid w:val="00DC4A91"/>
    <w:rsid w:val="00DC590C"/>
    <w:rsid w:val="00DC634D"/>
    <w:rsid w:val="00DD5784"/>
    <w:rsid w:val="00DE3CF2"/>
    <w:rsid w:val="00DF3115"/>
    <w:rsid w:val="00E11E1F"/>
    <w:rsid w:val="00E11F44"/>
    <w:rsid w:val="00E32CC1"/>
    <w:rsid w:val="00E33796"/>
    <w:rsid w:val="00E4521E"/>
    <w:rsid w:val="00E614FA"/>
    <w:rsid w:val="00E81E3D"/>
    <w:rsid w:val="00EC1E8E"/>
    <w:rsid w:val="00EE02AF"/>
    <w:rsid w:val="00F03FFB"/>
    <w:rsid w:val="00F07C61"/>
    <w:rsid w:val="00F24457"/>
    <w:rsid w:val="00F71773"/>
    <w:rsid w:val="00F7265D"/>
    <w:rsid w:val="00F75C05"/>
    <w:rsid w:val="00F977CC"/>
    <w:rsid w:val="00FA7F77"/>
    <w:rsid w:val="00FB6A01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7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7756"/>
    <w:rPr>
      <w:color w:val="0000FF" w:themeColor="hyperlink"/>
      <w:u w:val="single"/>
    </w:rPr>
  </w:style>
  <w:style w:type="paragraph" w:customStyle="1" w:styleId="Texto">
    <w:name w:val="Texto"/>
    <w:basedOn w:val="Normal"/>
    <w:link w:val="TextoCar"/>
    <w:rsid w:val="00C5169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C51694"/>
    <w:rPr>
      <w:rFonts w:ascii="Arial" w:eastAsia="Times New Roman" w:hAnsi="Arial" w:cs="Arial"/>
      <w:sz w:val="18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82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832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32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32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32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32D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F7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1773"/>
  </w:style>
  <w:style w:type="paragraph" w:styleId="Piedepgina">
    <w:name w:val="footer"/>
    <w:basedOn w:val="Normal"/>
    <w:link w:val="PiedepginaCar"/>
    <w:uiPriority w:val="99"/>
    <w:semiHidden/>
    <w:unhideWhenUsed/>
    <w:rsid w:val="00F7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1773"/>
  </w:style>
  <w:style w:type="table" w:styleId="Tablaconcuadrcula">
    <w:name w:val="Table Grid"/>
    <w:basedOn w:val="Tablanormal"/>
    <w:uiPriority w:val="59"/>
    <w:rsid w:val="0033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qFormat/>
    <w:rsid w:val="0073158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es-ES"/>
    </w:rPr>
  </w:style>
  <w:style w:type="table" w:customStyle="1" w:styleId="Cuadrculaclara1">
    <w:name w:val="Cuadrícula clara1"/>
    <w:basedOn w:val="Tablanormal"/>
    <w:uiPriority w:val="62"/>
    <w:rsid w:val="007315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7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7756"/>
    <w:rPr>
      <w:color w:val="0000FF" w:themeColor="hyperlink"/>
      <w:u w:val="single"/>
    </w:rPr>
  </w:style>
  <w:style w:type="paragraph" w:customStyle="1" w:styleId="Texto">
    <w:name w:val="Texto"/>
    <w:basedOn w:val="Normal"/>
    <w:link w:val="TextoCar"/>
    <w:rsid w:val="00C5169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C51694"/>
    <w:rPr>
      <w:rFonts w:ascii="Arial" w:eastAsia="Times New Roman" w:hAnsi="Arial" w:cs="Arial"/>
      <w:sz w:val="18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82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832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32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32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32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32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iti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ntonio.pazp\Configuraci&#243;n%20local\Archivos%20temporales%20de%20Internet\Content.Outlook\1PUWIIB3\PresupuestoAutorizadoEje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¿Quien gasta en 2015?</a:t>
            </a:r>
          </a:p>
        </c:rich>
      </c:tx>
      <c:layout>
        <c:manualLayout>
          <c:xMode val="edge"/>
          <c:yMode val="edge"/>
          <c:x val="0.30713003120599236"/>
          <c:y val="1.576576576576577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5.1632753499010399E-2"/>
                  <c:y val="0.1311525293252962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5143498719452792E-2"/>
                  <c:y val="7.18891765612216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4970704509555116E-2"/>
                  <c:y val="6.05312710144975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9902242146805815E-2"/>
                  <c:y val="-2.60286657395711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2986505185996847E-2"/>
                  <c:y val="-9.79126506428064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7.9708118055107732E-2"/>
                  <c:y val="-7.71468839740872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3146293032490037E-2"/>
                  <c:y val="-9.77512766070669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Hoja1!$A$105:$A$111</c:f>
              <c:strCache>
                <c:ptCount val="7"/>
                <c:pt idx="0">
                  <c:v>PODER EJECUTIVO</c:v>
                </c:pt>
                <c:pt idx="1">
                  <c:v>PODER LEGISLATIVO</c:v>
                </c:pt>
                <c:pt idx="2">
                  <c:v>PODER JUDICIAL</c:v>
                </c:pt>
                <c:pt idx="3">
                  <c:v>ORGANISMOS  AUTÓNOMOS</c:v>
                </c:pt>
                <c:pt idx="4">
                  <c:v>ENTIDADES PARAESTATALES Y FIDEICOMISOS NO EMPRESARIALES Y NO FINANCIEROS</c:v>
                </c:pt>
                <c:pt idx="5">
                  <c:v>INSTITUCIONES PÚBLICAS DE SEGURIDAD SOCIAL</c:v>
                </c:pt>
                <c:pt idx="6">
                  <c:v>ENTIDADES PARAESTATALES EMPRESARIALES NO FINANCIERAS CON PARTICIPACIÓN ESTATAL MAYORITARIA</c:v>
                </c:pt>
              </c:strCache>
            </c:strRef>
          </c:cat>
          <c:val>
            <c:numRef>
              <c:f>Hoja1!$B$105:$B$111</c:f>
              <c:numCache>
                <c:formatCode>#,##0.00</c:formatCode>
                <c:ptCount val="7"/>
                <c:pt idx="0">
                  <c:v>21378282223</c:v>
                </c:pt>
                <c:pt idx="1">
                  <c:v>183059740</c:v>
                </c:pt>
                <c:pt idx="2">
                  <c:v>460000000</c:v>
                </c:pt>
                <c:pt idx="3">
                  <c:v>2716049455</c:v>
                </c:pt>
                <c:pt idx="4">
                  <c:v>9825649692</c:v>
                </c:pt>
                <c:pt idx="5">
                  <c:v>1174856912</c:v>
                </c:pt>
                <c:pt idx="6">
                  <c:v>73982360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04115361779027"/>
          <c:y val="9.9499567433940853E-2"/>
          <c:w val="0.3283079212278362"/>
          <c:h val="0.617804992961698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Gasto 2015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9.8054582642052968E-2"/>
                  <c:y val="-0.1263076828772203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0134130390891774E-2"/>
                  <c:y val="-5.38027651002223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3582194366172684E-3"/>
                  <c:y val="7.702269700363906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5478805115915749E-2"/>
                  <c:y val="5.55175507520158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3.5187457755071601E-2"/>
                  <c:y val="-5.821600325437035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1.252258183446135E-2"/>
                  <c:y val="-6.879560437110972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Hoja1!$A$61:$A$69</c:f>
              <c:strCache>
                <c:ptCount val="9"/>
                <c:pt idx="0">
                  <c:v>Servicios Personales</c:v>
                </c:pt>
                <c:pt idx="1">
                  <c:v>Materiales y Suministros</c:v>
                </c:pt>
                <c:pt idx="2">
                  <c:v>Servicios Generales</c:v>
                </c:pt>
                <c:pt idx="3">
                  <c:v>Transferencias, Asignaciones, Subsidios y Otras Ayudas</c:v>
                </c:pt>
                <c:pt idx="4">
                  <c:v>Bienes Muebles, Inmuebles e Intangibles</c:v>
                </c:pt>
                <c:pt idx="5">
                  <c:v>Inversión Pública</c:v>
                </c:pt>
                <c:pt idx="6">
                  <c:v>Inversiones Financieras y Otras Provisiones</c:v>
                </c:pt>
                <c:pt idx="7">
                  <c:v>Participaciones y Aportaciones</c:v>
                </c:pt>
                <c:pt idx="8">
                  <c:v>Deuda Pública</c:v>
                </c:pt>
              </c:strCache>
            </c:strRef>
          </c:cat>
          <c:val>
            <c:numRef>
              <c:f>Hoja1!$B$61:$B$69</c:f>
              <c:numCache>
                <c:formatCode>#,##0.00</c:formatCode>
                <c:ptCount val="9"/>
                <c:pt idx="0">
                  <c:v>9630940655</c:v>
                </c:pt>
                <c:pt idx="1">
                  <c:v>743888122</c:v>
                </c:pt>
                <c:pt idx="2">
                  <c:v>1589270661</c:v>
                </c:pt>
                <c:pt idx="3">
                  <c:v>17507514049</c:v>
                </c:pt>
                <c:pt idx="4">
                  <c:v>95437802</c:v>
                </c:pt>
                <c:pt idx="5">
                  <c:v>847794874</c:v>
                </c:pt>
                <c:pt idx="6">
                  <c:v>47275001</c:v>
                </c:pt>
                <c:pt idx="7">
                  <c:v>5172019651</c:v>
                </c:pt>
                <c:pt idx="8">
                  <c:v>177739567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Hoja1!$B$4:$B$9</c:f>
              <c:strCache>
                <c:ptCount val="6"/>
                <c:pt idx="0">
                  <c:v> Yucatán Competitivo  </c:v>
                </c:pt>
                <c:pt idx="1">
                  <c:v> Yucatán Incluyente  </c:v>
                </c:pt>
                <c:pt idx="2">
                  <c:v> Yucatán con Educación de Calidad  </c:v>
                </c:pt>
                <c:pt idx="3">
                  <c:v> Yucatán con Crecimiento Ordenado  </c:v>
                </c:pt>
                <c:pt idx="4">
                  <c:v> Yucatán Seguro  </c:v>
                </c:pt>
                <c:pt idx="5">
                  <c:v> Gestión y Administración Pública  </c:v>
                </c:pt>
              </c:strCache>
            </c:strRef>
          </c:cat>
          <c:val>
            <c:numRef>
              <c:f>Hoja1!$E$4:$E$9</c:f>
              <c:numCache>
                <c:formatCode>0%</c:formatCode>
                <c:ptCount val="6"/>
                <c:pt idx="0">
                  <c:v>4.0530664838519699E-2</c:v>
                </c:pt>
                <c:pt idx="1">
                  <c:v>0.12855173478446921</c:v>
                </c:pt>
                <c:pt idx="2">
                  <c:v>0.26850820966198546</c:v>
                </c:pt>
                <c:pt idx="3">
                  <c:v>8.7722528822558155E-2</c:v>
                </c:pt>
                <c:pt idx="4">
                  <c:v>6.99264905469381E-2</c:v>
                </c:pt>
                <c:pt idx="5">
                  <c:v>0.4047603713455295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9BD2-E981-4503-9B06-86927E7F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1370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Aguilar Herrera</dc:creator>
  <cp:lastModifiedBy>Eduar Raul Chi Santana</cp:lastModifiedBy>
  <cp:revision>4</cp:revision>
  <cp:lastPrinted>2015-01-28T22:35:00Z</cp:lastPrinted>
  <dcterms:created xsi:type="dcterms:W3CDTF">2015-01-27T23:15:00Z</dcterms:created>
  <dcterms:modified xsi:type="dcterms:W3CDTF">2015-01-29T15:50:00Z</dcterms:modified>
</cp:coreProperties>
</file>