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AC" w:rsidRDefault="00D31DAC" w:rsidP="00D31DAC">
      <w:pPr>
        <w:autoSpaceDE w:val="0"/>
        <w:autoSpaceDN w:val="0"/>
        <w:adjustRightInd w:val="0"/>
        <w:spacing w:after="0" w:line="240" w:lineRule="auto"/>
        <w:rPr>
          <w:rFonts w:ascii="Candara,Bold" w:hAnsi="Candara,Bold" w:cs="Candara,Bold"/>
          <w:b/>
          <w:bCs/>
          <w:sz w:val="28"/>
          <w:szCs w:val="28"/>
        </w:rPr>
      </w:pPr>
      <w:bookmarkStart w:id="0" w:name="_GoBack"/>
      <w:bookmarkEnd w:id="0"/>
    </w:p>
    <w:p w:rsidR="00D31DAC" w:rsidRDefault="00D31DAC" w:rsidP="00D31DAC">
      <w:pPr>
        <w:autoSpaceDE w:val="0"/>
        <w:autoSpaceDN w:val="0"/>
        <w:adjustRightInd w:val="0"/>
        <w:spacing w:after="0" w:line="240" w:lineRule="auto"/>
        <w:jc w:val="center"/>
        <w:rPr>
          <w:rFonts w:ascii="Candara,Bold" w:hAnsi="Candara,Bold" w:cs="Candara,Bold"/>
          <w:b/>
          <w:bCs/>
          <w:sz w:val="28"/>
          <w:szCs w:val="28"/>
        </w:rPr>
      </w:pPr>
      <w:r>
        <w:rPr>
          <w:rFonts w:ascii="Candara,Bold" w:hAnsi="Candara,Bold" w:cs="Candara,Bold"/>
          <w:b/>
          <w:bCs/>
          <w:sz w:val="28"/>
          <w:szCs w:val="28"/>
        </w:rPr>
        <w:t>LOS DICTÁMENES DE LAS AUDITORÍAS CONCLUÍDAS</w:t>
      </w:r>
    </w:p>
    <w:p w:rsidR="00D31DAC" w:rsidRDefault="00D31DAC" w:rsidP="00D31DAC">
      <w:pPr>
        <w:autoSpaceDE w:val="0"/>
        <w:autoSpaceDN w:val="0"/>
        <w:adjustRightInd w:val="0"/>
        <w:spacing w:after="0" w:line="240" w:lineRule="auto"/>
        <w:rPr>
          <w:rFonts w:ascii="Candara,Bold" w:hAnsi="Candara,Bold" w:cs="Candara,Bold"/>
          <w:b/>
          <w:bCs/>
          <w:sz w:val="28"/>
          <w:szCs w:val="28"/>
        </w:rPr>
      </w:pPr>
    </w:p>
    <w:p w:rsidR="00D31DAC" w:rsidRDefault="00D31DAC" w:rsidP="00D31DAC">
      <w:pPr>
        <w:autoSpaceDE w:val="0"/>
        <w:autoSpaceDN w:val="0"/>
        <w:adjustRightInd w:val="0"/>
        <w:spacing w:after="0" w:line="240" w:lineRule="auto"/>
        <w:rPr>
          <w:rFonts w:ascii="Candara,Bold" w:hAnsi="Candara,Bold" w:cs="Candara,Bold"/>
          <w:b/>
          <w:bCs/>
          <w:sz w:val="28"/>
          <w:szCs w:val="28"/>
        </w:rPr>
      </w:pPr>
    </w:p>
    <w:p w:rsidR="00D31DAC" w:rsidRDefault="00D31DAC" w:rsidP="00D31DAC">
      <w:pPr>
        <w:autoSpaceDE w:val="0"/>
        <w:autoSpaceDN w:val="0"/>
        <w:adjustRightInd w:val="0"/>
        <w:spacing w:after="0" w:line="240" w:lineRule="auto"/>
        <w:rPr>
          <w:rFonts w:ascii="Candara,Bold" w:hAnsi="Candara,Bold" w:cs="Candara,Bold"/>
          <w:b/>
          <w:bCs/>
          <w:sz w:val="28"/>
          <w:szCs w:val="28"/>
        </w:rPr>
      </w:pPr>
    </w:p>
    <w:p w:rsidR="00D31DAC" w:rsidRDefault="00D31DAC" w:rsidP="00D31DAC">
      <w:pPr>
        <w:autoSpaceDE w:val="0"/>
        <w:autoSpaceDN w:val="0"/>
        <w:adjustRightInd w:val="0"/>
        <w:spacing w:after="0" w:line="480" w:lineRule="auto"/>
        <w:jc w:val="both"/>
        <w:rPr>
          <w:rFonts w:ascii="Candara" w:hAnsi="Candara" w:cs="Candara"/>
          <w:sz w:val="28"/>
          <w:szCs w:val="28"/>
        </w:rPr>
      </w:pPr>
      <w:r>
        <w:rPr>
          <w:rFonts w:ascii="Candara" w:hAnsi="Candara" w:cs="Candara"/>
          <w:sz w:val="28"/>
          <w:szCs w:val="28"/>
        </w:rPr>
        <w:t>De las obligaciones relativas al articulo 70 de la Ley de Transparencia</w:t>
      </w:r>
      <w:r w:rsidR="00C358C8">
        <w:rPr>
          <w:rFonts w:ascii="Candara" w:hAnsi="Candara" w:cs="Candara"/>
          <w:sz w:val="28"/>
          <w:szCs w:val="28"/>
        </w:rPr>
        <w:t xml:space="preserve"> y Acceso a la Información Pública del Estado de Yucatán,</w:t>
      </w:r>
      <w:r>
        <w:rPr>
          <w:rFonts w:ascii="Candara" w:hAnsi="Candara" w:cs="Candara"/>
          <w:sz w:val="28"/>
          <w:szCs w:val="28"/>
        </w:rPr>
        <w:t xml:space="preserve"> </w:t>
      </w:r>
      <w:r w:rsidRPr="00C358C8">
        <w:rPr>
          <w:rFonts w:ascii="Candara" w:hAnsi="Candara" w:cs="Candara"/>
          <w:b/>
          <w:sz w:val="28"/>
          <w:szCs w:val="28"/>
        </w:rPr>
        <w:t>fracción XXV “El resultado de la dictaminación de estados financieros”</w:t>
      </w:r>
      <w:r>
        <w:rPr>
          <w:rFonts w:ascii="Candara,Italic" w:hAnsi="Candara,Italic" w:cs="Candara,Italic"/>
          <w:i/>
          <w:iCs/>
          <w:sz w:val="28"/>
          <w:szCs w:val="28"/>
        </w:rPr>
        <w:t xml:space="preserve">; </w:t>
      </w:r>
      <w:r>
        <w:rPr>
          <w:rFonts w:ascii="Candara" w:hAnsi="Candara" w:cs="Candara"/>
          <w:sz w:val="28"/>
          <w:szCs w:val="28"/>
        </w:rPr>
        <w:t>me permito informarle que se declara la inexistencia de información relacionada con dicha fracción, no recibió ningún dictamen de auditoría de las que actualmente se encuentran en proceso, por lo que no se tramitó ni generó documentación relativa y, por consiguiente, no se cuenta con información pública que reportar.</w:t>
      </w:r>
    </w:p>
    <w:sectPr w:rsidR="00D31D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AC"/>
    <w:rsid w:val="003F559F"/>
    <w:rsid w:val="00741C94"/>
    <w:rsid w:val="00BF6CAF"/>
    <w:rsid w:val="00C358C8"/>
    <w:rsid w:val="00D31DAC"/>
    <w:rsid w:val="00D83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2</cp:revision>
  <dcterms:created xsi:type="dcterms:W3CDTF">2017-01-09T16:03:00Z</dcterms:created>
  <dcterms:modified xsi:type="dcterms:W3CDTF">2017-01-09T16:03:00Z</dcterms:modified>
</cp:coreProperties>
</file>